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June 21,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MYLAN N.V.</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4040" w:type="dxa"/>
            <w:vAlign w:val="bottom"/>
          </w:tcPr>
          <w:p>
            <w:pPr>
              <w:jc w:val="center"/>
              <w:ind w:right="2239"/>
              <w:spacing w:after="0"/>
              <w:rPr>
                <w:sz w:val="20"/>
                <w:szCs w:val="20"/>
                <w:color w:val="auto"/>
              </w:rPr>
            </w:pPr>
            <w:r>
              <w:rPr>
                <w:rFonts w:ascii="Arial" w:cs="Arial" w:eastAsia="Arial" w:hAnsi="Arial"/>
                <w:sz w:val="18"/>
                <w:szCs w:val="18"/>
                <w:b w:val="1"/>
                <w:bCs w:val="1"/>
                <w:color w:val="auto"/>
                <w:w w:val="90"/>
              </w:rPr>
              <w:t>The Netherlands</w:t>
            </w:r>
          </w:p>
        </w:tc>
        <w:tc>
          <w:tcPr>
            <w:tcW w:w="2320" w:type="dxa"/>
            <w:vAlign w:val="bottom"/>
          </w:tcPr>
          <w:p>
            <w:pPr>
              <w:jc w:val="center"/>
              <w:ind w:right="1102"/>
              <w:spacing w:after="0"/>
              <w:rPr>
                <w:sz w:val="20"/>
                <w:szCs w:val="20"/>
                <w:color w:val="auto"/>
              </w:rPr>
            </w:pPr>
            <w:r>
              <w:rPr>
                <w:rFonts w:ascii="Arial" w:cs="Arial" w:eastAsia="Arial" w:hAnsi="Arial"/>
                <w:sz w:val="18"/>
                <w:szCs w:val="18"/>
                <w:b w:val="1"/>
                <w:bCs w:val="1"/>
                <w:color w:val="auto"/>
                <w:w w:val="89"/>
              </w:rPr>
              <w:t>333-199861</w:t>
            </w:r>
          </w:p>
        </w:tc>
        <w:tc>
          <w:tcPr>
            <w:tcW w:w="2440" w:type="dxa"/>
            <w:vAlign w:val="bottom"/>
          </w:tcPr>
          <w:p>
            <w:pPr>
              <w:jc w:val="right"/>
              <w:ind w:right="41"/>
              <w:spacing w:after="0"/>
              <w:rPr>
                <w:sz w:val="20"/>
                <w:szCs w:val="20"/>
                <w:color w:val="auto"/>
              </w:rPr>
            </w:pPr>
            <w:r>
              <w:rPr>
                <w:rFonts w:ascii="Arial" w:cs="Arial" w:eastAsia="Arial" w:hAnsi="Arial"/>
                <w:sz w:val="18"/>
                <w:szCs w:val="18"/>
                <w:b w:val="1"/>
                <w:bCs w:val="1"/>
                <w:color w:val="auto"/>
              </w:rPr>
              <w:t>98-1189497</w:t>
            </w:r>
          </w:p>
        </w:tc>
      </w:tr>
      <w:tr>
        <w:trPr>
          <w:trHeight w:val="149"/>
        </w:trPr>
        <w:tc>
          <w:tcPr>
            <w:tcW w:w="404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jc w:val="center"/>
              <w:ind w:right="1102"/>
              <w:spacing w:after="0" w:line="149" w:lineRule="exact"/>
              <w:rPr>
                <w:sz w:val="20"/>
                <w:szCs w:val="20"/>
                <w:color w:val="auto"/>
              </w:rPr>
            </w:pPr>
            <w:r>
              <w:rPr>
                <w:rFonts w:ascii="Arial" w:cs="Arial" w:eastAsia="Arial" w:hAnsi="Arial"/>
                <w:sz w:val="14"/>
                <w:szCs w:val="14"/>
                <w:b w:val="1"/>
                <w:bCs w:val="1"/>
                <w:color w:val="auto"/>
                <w:w w:val="92"/>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4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jc w:val="center"/>
              <w:ind w:right="1102"/>
              <w:spacing w:after="0"/>
              <w:rPr>
                <w:sz w:val="20"/>
                <w:szCs w:val="20"/>
                <w:color w:val="auto"/>
              </w:rPr>
            </w:pPr>
            <w:r>
              <w:rPr>
                <w:rFonts w:ascii="Arial" w:cs="Arial" w:eastAsia="Arial" w:hAnsi="Arial"/>
                <w:sz w:val="14"/>
                <w:szCs w:val="14"/>
                <w:b w:val="1"/>
                <w:bCs w:val="1"/>
                <w:color w:val="auto"/>
                <w:w w:val="95"/>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6360" w:type="dxa"/>
            <w:vAlign w:val="bottom"/>
            <w:gridSpan w:val="2"/>
          </w:tcPr>
          <w:p>
            <w:pPr>
              <w:jc w:val="center"/>
              <w:ind w:right="922"/>
              <w:spacing w:after="0"/>
              <w:rPr>
                <w:sz w:val="20"/>
                <w:szCs w:val="20"/>
                <w:color w:val="auto"/>
              </w:rPr>
            </w:pPr>
            <w:r>
              <w:rPr>
                <w:rFonts w:ascii="Arial" w:cs="Arial" w:eastAsia="Arial" w:hAnsi="Arial"/>
                <w:sz w:val="18"/>
                <w:szCs w:val="18"/>
                <w:b w:val="1"/>
                <w:bCs w:val="1"/>
                <w:color w:val="auto"/>
                <w:w w:val="91"/>
              </w:rPr>
              <w:t>Building 4, Trident Place, Mosquito Way, Hatfield,</w:t>
            </w:r>
          </w:p>
        </w:tc>
        <w:tc>
          <w:tcPr>
            <w:tcW w:w="2440" w:type="dxa"/>
            <w:vAlign w:val="bottom"/>
          </w:tcPr>
          <w:p>
            <w:pPr>
              <w:spacing w:after="0"/>
              <w:rPr>
                <w:sz w:val="24"/>
                <w:szCs w:val="24"/>
                <w:color w:val="auto"/>
              </w:rPr>
            </w:pPr>
          </w:p>
        </w:tc>
      </w:tr>
      <w:tr>
        <w:trPr>
          <w:trHeight w:val="225"/>
        </w:trPr>
        <w:tc>
          <w:tcPr>
            <w:tcW w:w="4040" w:type="dxa"/>
            <w:vAlign w:val="bottom"/>
          </w:tcPr>
          <w:p>
            <w:pPr>
              <w:jc w:val="center"/>
              <w:ind w:left="1239"/>
              <w:spacing w:after="0"/>
              <w:rPr>
                <w:sz w:val="20"/>
                <w:szCs w:val="20"/>
                <w:color w:val="auto"/>
              </w:rPr>
            </w:pPr>
            <w:r>
              <w:rPr>
                <w:rFonts w:ascii="Arial" w:cs="Arial" w:eastAsia="Arial" w:hAnsi="Arial"/>
                <w:sz w:val="18"/>
                <w:szCs w:val="18"/>
                <w:b w:val="1"/>
                <w:bCs w:val="1"/>
                <w:color w:val="auto"/>
                <w:w w:val="94"/>
              </w:rPr>
              <w:t>Hertfordshire</w:t>
            </w:r>
          </w:p>
        </w:tc>
        <w:tc>
          <w:tcPr>
            <w:tcW w:w="2320" w:type="dxa"/>
            <w:vAlign w:val="bottom"/>
          </w:tcPr>
          <w:p>
            <w:pPr>
              <w:spacing w:after="0"/>
              <w:rPr>
                <w:sz w:val="19"/>
                <w:szCs w:val="19"/>
                <w:color w:val="auto"/>
              </w:rPr>
            </w:pPr>
          </w:p>
        </w:tc>
        <w:tc>
          <w:tcPr>
            <w:tcW w:w="2440" w:type="dxa"/>
            <w:vAlign w:val="bottom"/>
          </w:tcPr>
          <w:p>
            <w:pPr>
              <w:jc w:val="center"/>
              <w:ind w:left="1241"/>
              <w:spacing w:after="0"/>
              <w:rPr>
                <w:sz w:val="20"/>
                <w:szCs w:val="20"/>
                <w:color w:val="auto"/>
              </w:rPr>
            </w:pPr>
            <w:r>
              <w:rPr>
                <w:rFonts w:ascii="Arial" w:cs="Arial" w:eastAsia="Arial" w:hAnsi="Arial"/>
                <w:sz w:val="18"/>
                <w:szCs w:val="18"/>
                <w:b w:val="1"/>
                <w:bCs w:val="1"/>
                <w:color w:val="auto"/>
                <w:w w:val="96"/>
              </w:rPr>
              <w:t>AL10 9UL</w:t>
            </w:r>
          </w:p>
        </w:tc>
      </w:tr>
      <w:tr>
        <w:trPr>
          <w:trHeight w:val="186"/>
        </w:trPr>
        <w:tc>
          <w:tcPr>
            <w:tcW w:w="404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2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+44 (0) 1707-853-000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40" w:firstLine="44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 (b))</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 (c))</w:t>
      </w:r>
    </w:p>
    <w:p>
      <w:pPr>
        <w:spacing w:after="0" w:line="225" w:lineRule="exact"/>
        <w:rPr>
          <w:sz w:val="24"/>
          <w:szCs w:val="24"/>
          <w:color w:val="auto"/>
        </w:rPr>
      </w:pPr>
    </w:p>
    <w:p>
      <w:pPr>
        <w:ind w:left="4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Ordinary shares, nominal value €0.01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MYL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18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69" w:lineRule="exact"/>
        <w:rPr>
          <w:sz w:val="24"/>
          <w:szCs w:val="24"/>
          <w:color w:val="auto"/>
        </w:rPr>
      </w:pPr>
    </w:p>
    <w:p>
      <w:pPr>
        <w:ind w:right="18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40" w:firstLine="4"/>
        <w:spacing w:after="0" w:line="253"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June 21, 2019, Mylan N.V. (“Mylan” or the “Company”) held its annual general meeting of shareholders (the “AGM”) to (i) appoint two executive directors and eleven non-executive directors, each for a term ending immediately after the next annual general meeting held after their appointment; (ii) approve, on an advisory basis, the compensation of the named executive officers of the Company; (iii) adopt the Dutch annual accounts for fiscal year 2018; (iv) ratify the selection of Deloitte &amp; Touche LLP as the Company’s independent registered public accounting firm for fiscal year 2019; (v) instruct Deloitte Accountants B.V. for the audit of the Company’s Dutch statutory annual accounts for fiscal year 2019; (vi) authorize Mylan’s Board of Directors (the “Mylan Board”) to acquire shares in the capital of the Company; and (vii) delegate to the Mylan Board the authority to issue ordinary shares and grant rights to subscribe for ordinary shares in the capital of the Company and to exclude or restrict pre-emptive rights. Each director nominee and all other matters voted on at the AGM received the affirmative vote of a majority of the votes cast by shareholders entitled to vote and each director nominee was appointed by the general meeting and all other matters voted on passed. The results of specific proposals are set forth below.</w:t>
      </w:r>
    </w:p>
    <w:p>
      <w:pPr>
        <w:spacing w:after="0" w:line="19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the close of business on May 24, 2019, the record date for the AGM (the “Record Date”), there were issued and outstanding 515,468,049 ordinary shares of Mylan entitled to vote at the AGM. As of the Record Date, there were no preferred shares of Mylan issued and outstanding. At least one-third of the issued Mylan shares were present or represented at the AGM with respect to each proposal below, constituting a quorum for each such proposal.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 The certified results of the matters voted on at the AGM are set forth below.</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Proposal No. 1 </w:t>
      </w:r>
      <w:r>
        <w:rPr>
          <w:rFonts w:ascii="Arial" w:cs="Arial" w:eastAsia="Arial" w:hAnsi="Arial"/>
          <w:sz w:val="18"/>
          <w:szCs w:val="18"/>
          <w:color w:val="auto"/>
        </w:rPr>
        <w:t>- Appointment of two executive directors and eleven non-executive directors, each for a term ending immediately after the next annual</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meeting held after their appointment:</w:t>
      </w:r>
    </w:p>
    <w:p>
      <w:pPr>
        <w:spacing w:after="0" w:line="189"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5480" w:type="dxa"/>
            <w:vAlign w:val="bottom"/>
            <w:gridSpan w:val="3"/>
          </w:tcPr>
          <w:p>
            <w:pPr>
              <w:spacing w:after="0"/>
              <w:rPr>
                <w:sz w:val="20"/>
                <w:szCs w:val="20"/>
                <w:color w:val="auto"/>
              </w:rPr>
            </w:pPr>
            <w:r>
              <w:rPr>
                <w:rFonts w:ascii="Arial" w:cs="Arial" w:eastAsia="Arial" w:hAnsi="Arial"/>
                <w:sz w:val="14"/>
                <w:szCs w:val="14"/>
                <w:b w:val="1"/>
                <w:bCs w:val="1"/>
                <w:color w:val="auto"/>
              </w:rPr>
              <w:t>Nominee</w:t>
            </w:r>
          </w:p>
        </w:tc>
        <w:tc>
          <w:tcPr>
            <w:tcW w:w="1280" w:type="dxa"/>
            <w:vAlign w:val="bottom"/>
            <w:gridSpan w:val="2"/>
          </w:tcPr>
          <w:p>
            <w:pPr>
              <w:ind w:left="360"/>
              <w:spacing w:after="0"/>
              <w:rPr>
                <w:sz w:val="20"/>
                <w:szCs w:val="20"/>
                <w:color w:val="auto"/>
              </w:rPr>
            </w:pPr>
            <w:r>
              <w:rPr>
                <w:rFonts w:ascii="Arial" w:cs="Arial" w:eastAsia="Arial" w:hAnsi="Arial"/>
                <w:sz w:val="14"/>
                <w:szCs w:val="14"/>
                <w:b w:val="1"/>
                <w:bCs w:val="1"/>
                <w:color w:val="auto"/>
              </w:rPr>
              <w:t>For</w:t>
            </w: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Against</w:t>
            </w:r>
          </w:p>
        </w:tc>
        <w:tc>
          <w:tcPr>
            <w:tcW w:w="660" w:type="dxa"/>
            <w:vAlign w:val="bottom"/>
          </w:tcPr>
          <w:p>
            <w:pPr>
              <w:ind w:left="80"/>
              <w:spacing w:after="0"/>
              <w:rPr>
                <w:sz w:val="20"/>
                <w:szCs w:val="20"/>
                <w:color w:val="auto"/>
              </w:rPr>
            </w:pPr>
            <w:r>
              <w:rPr>
                <w:rFonts w:ascii="Arial" w:cs="Arial" w:eastAsia="Arial" w:hAnsi="Arial"/>
                <w:sz w:val="14"/>
                <w:szCs w:val="14"/>
                <w:b w:val="1"/>
                <w:bCs w:val="1"/>
                <w:color w:val="auto"/>
              </w:rPr>
              <w:t>Abstain</w:t>
            </w:r>
          </w:p>
        </w:tc>
        <w:tc>
          <w:tcPr>
            <w:tcW w:w="15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Broker Non-Votes</w:t>
            </w: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Heather Bresch*</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327,491,381</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29,020,499</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9"/>
              </w:rPr>
              <w:t>441,227</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41,843,425</w:t>
            </w: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Hon. Robert J. Cindrich</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319,929,467</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36,405,352</w:t>
            </w:r>
          </w:p>
        </w:tc>
        <w:tc>
          <w:tcPr>
            <w:tcW w:w="34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89"/>
              </w:rPr>
              <w:t>618,288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41,843,425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Coury</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324,569,126</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31,458,648</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925,333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41,843,425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JoEllen Lyons Dillon</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318,895,045</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37,274,318</w:t>
            </w:r>
          </w:p>
        </w:tc>
        <w:tc>
          <w:tcPr>
            <w:tcW w:w="34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89"/>
              </w:rPr>
              <w:t>783,744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41,843,425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Neil Dimick, C.P.A.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320,353,133</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35,837,784</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762,190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41,843,425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Melina Higgins</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327,291,798</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28,868,952</w:t>
            </w:r>
          </w:p>
        </w:tc>
        <w:tc>
          <w:tcPr>
            <w:tcW w:w="34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89"/>
              </w:rPr>
              <w:t>792,357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41,843,425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Harry A. Korman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323,720,787</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32,436,222</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796,098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41,843,425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Rajiv Malik*</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327,177,095</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29,177,175</w:t>
            </w:r>
          </w:p>
        </w:tc>
        <w:tc>
          <w:tcPr>
            <w:tcW w:w="34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89"/>
              </w:rPr>
              <w:t>598,837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41,843,425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Mark, C.P.A.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331,808,992</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24,400,899</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743,216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41,843,425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Mark W. Parrish</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319,848,547</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36,497,106</w:t>
            </w:r>
          </w:p>
        </w:tc>
        <w:tc>
          <w:tcPr>
            <w:tcW w:w="34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89"/>
              </w:rPr>
              <w:t>607,454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41,843,425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Pauline van der Meer Mohr</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325,227,308</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30,964,135</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761,664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41,843,425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Randall L. (Pete) Vanderveen, Ph.D.</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322,607,454</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33,605,202</w:t>
            </w:r>
          </w:p>
        </w:tc>
        <w:tc>
          <w:tcPr>
            <w:tcW w:w="34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89"/>
              </w:rPr>
              <w:t>740,451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41,843,425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Sjoerd S. Vollebregt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322,338,577</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33,837,246</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777,284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41,843,425</w:t>
            </w:r>
          </w:p>
        </w:tc>
        <w:tc>
          <w:tcPr>
            <w:tcW w:w="4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Refers to an executive director. All other directors listed above are non-executive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Consistent with established Dutch law and Mylan’s Articles of Association, each director nominee was appointed by the general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Proposal No. 2 </w:t>
      </w:r>
      <w:r>
        <w:rPr>
          <w:rFonts w:ascii="Arial" w:cs="Arial" w:eastAsia="Arial" w:hAnsi="Arial"/>
          <w:sz w:val="18"/>
          <w:szCs w:val="18"/>
          <w:color w:val="auto"/>
        </w:rPr>
        <w:t>– Approval, on an advisory basis, of the compensation of the named executive officers of the Company:</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For</w:t>
            </w:r>
          </w:p>
        </w:tc>
        <w:tc>
          <w:tcPr>
            <w:tcW w:w="2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Against</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Abstain</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42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rPr>
              <w:t>315,667,565</w:t>
            </w:r>
          </w:p>
        </w:tc>
        <w:tc>
          <w:tcPr>
            <w:tcW w:w="12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rPr>
              <w:t>40,612,339</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rPr>
              <w:t>673,203</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rPr>
              <w:t>41,843,425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proposal received the affirmative vote of a majority of the votes cast by shareholders entitled to vote and therefore passed.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Proposal No. 3 </w:t>
      </w:r>
      <w:r>
        <w:rPr>
          <w:rFonts w:ascii="Arial" w:cs="Arial" w:eastAsia="Arial" w:hAnsi="Arial"/>
          <w:sz w:val="18"/>
          <w:szCs w:val="18"/>
          <w:color w:val="auto"/>
        </w:rPr>
        <w:t>– Adoption of the Dutch annual accounts for fiscal year 2018:</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For</w:t>
            </w:r>
          </w:p>
        </w:tc>
        <w:tc>
          <w:tcPr>
            <w:tcW w:w="2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Against</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Abstain</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42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rPr>
              <w:t>381,499,227</w:t>
            </w:r>
          </w:p>
        </w:tc>
        <w:tc>
          <w:tcPr>
            <w:tcW w:w="12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rPr>
              <w:t>14,498,215</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rPr>
              <w:t>2,799,090</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1099"/>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proposal received the affirmative vote of a majority of the votes cast by shareholders entitled to vote and therefore passed.</w:t>
      </w:r>
    </w:p>
    <w:p>
      <w:pPr>
        <w:sectPr>
          <w:pgSz w:w="11900" w:h="16838" w:orient="portrait"/>
          <w:cols w:equalWidth="0" w:num="1">
            <w:col w:w="10980"/>
          </w:cols>
          <w:pgMar w:left="440" w:top="270" w:right="47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Proposal No. 4 </w:t>
      </w:r>
      <w:r>
        <w:rPr>
          <w:rFonts w:ascii="Arial" w:cs="Arial" w:eastAsia="Arial" w:hAnsi="Arial"/>
          <w:sz w:val="18"/>
          <w:szCs w:val="18"/>
          <w:color w:val="auto"/>
        </w:rPr>
        <w:t>– Ratification of the selection of Deloitte &amp; Touche LLP as the Company’s independent registered public accounting firm for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2019:</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For</w:t>
            </w:r>
          </w:p>
        </w:tc>
        <w:tc>
          <w:tcPr>
            <w:tcW w:w="2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Against</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Abstain</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10"/>
        </w:trPr>
        <w:tc>
          <w:tcPr>
            <w:tcW w:w="242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rPr>
              <w:t>375,032,377</w:t>
            </w:r>
          </w:p>
        </w:tc>
        <w:tc>
          <w:tcPr>
            <w:tcW w:w="12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rPr>
              <w:t>22,219,494</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rPr>
              <w:t>1,544,661</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1099"/>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proposal received the affirmative vote of a majority of the votes cast by shareholders entitled to vote and therefore passed.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Proposal No. 5 </w:t>
      </w:r>
      <w:r>
        <w:rPr>
          <w:rFonts w:ascii="Arial" w:cs="Arial" w:eastAsia="Arial" w:hAnsi="Arial"/>
          <w:sz w:val="17"/>
          <w:szCs w:val="17"/>
          <w:color w:val="auto"/>
        </w:rPr>
        <w:t>– Instruction to Deloitte Accountants B.V. for the audit of the Company’s Dutch statutory annual accounts for fiscal year 2019:</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For</w:t>
            </w:r>
          </w:p>
        </w:tc>
        <w:tc>
          <w:tcPr>
            <w:tcW w:w="2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Against</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Abstain</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10"/>
        </w:trPr>
        <w:tc>
          <w:tcPr>
            <w:tcW w:w="242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rPr>
              <w:t>374,409,027</w:t>
            </w:r>
          </w:p>
        </w:tc>
        <w:tc>
          <w:tcPr>
            <w:tcW w:w="12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rPr>
              <w:t>22,650,937</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rPr>
              <w:t>1,736,568</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1099"/>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proposal received the affirmative vote of a majority of the votes cast by shareholders entitled to vote and therefore passed.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Proposal No. 6 </w:t>
      </w:r>
      <w:r>
        <w:rPr>
          <w:rFonts w:ascii="Arial" w:cs="Arial" w:eastAsia="Arial" w:hAnsi="Arial"/>
          <w:sz w:val="18"/>
          <w:szCs w:val="18"/>
          <w:color w:val="auto"/>
        </w:rPr>
        <w:t>– Authorization of the Mylan Board to acquire shares in the capital of the Company:</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For</w:t>
            </w:r>
          </w:p>
        </w:tc>
        <w:tc>
          <w:tcPr>
            <w:tcW w:w="2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Against</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Abstain</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10"/>
        </w:trPr>
        <w:tc>
          <w:tcPr>
            <w:tcW w:w="242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rPr>
              <w:t>380,682,515</w:t>
            </w:r>
          </w:p>
        </w:tc>
        <w:tc>
          <w:tcPr>
            <w:tcW w:w="12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rPr>
              <w:t>15,737,664</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rPr>
              <w:t>2,376,353</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1099"/>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proposal received the affirmative vote of a majority of the votes cast by shareholders entitled to vote and therefore passed.</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Proposal No. 7 </w:t>
      </w:r>
      <w:r>
        <w:rPr>
          <w:rFonts w:ascii="Arial" w:cs="Arial" w:eastAsia="Arial" w:hAnsi="Arial"/>
          <w:sz w:val="18"/>
          <w:szCs w:val="18"/>
          <w:color w:val="auto"/>
        </w:rPr>
        <w:t>– Delegation to the Mylan Board of the authority to issue ordinary shares and grant rights to subscribe for ordinary shares in the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and to exclude or restrict pre-emptive rights: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For</w:t>
            </w:r>
          </w:p>
        </w:tc>
        <w:tc>
          <w:tcPr>
            <w:tcW w:w="2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Against</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Abstain</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10"/>
        </w:trPr>
        <w:tc>
          <w:tcPr>
            <w:tcW w:w="242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rPr>
              <w:t>268,512,153</w:t>
            </w:r>
          </w:p>
        </w:tc>
        <w:tc>
          <w:tcPr>
            <w:tcW w:w="12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rPr>
              <w:t>128,251,038</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rPr>
              <w:t>2,033,341</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1099"/>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proposal received the affirmative vote of a majority of the votes cast by shareholders entitled to vote and therefore passed.</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With respect to each proposal above, any abstentions, “blank votes” and invalid votes were counted for the purposes of determining the presence of a quorum, but were not considered to be votes cast and therefore had no effect on the vote on any such proposal. Any “broker non-votes” with respect to any proposal were not treated as shares present for purposes of determining the presence of a quorum with respect to such proposal and were not considered to be votes cast and therefore had no effect on the vote on such proposal.</w:t>
      </w:r>
    </w:p>
    <w:p>
      <w:pPr>
        <w:spacing w:after="0" w:line="31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previously disclosed in the Company’s proxy statement for the AGM (the “Proxy Statement”), Mylan received a proposed resolution from the UAW Retiree Medical Benefits Trust (the “UAW”) relating to the Company’s clawback policy (the “Shareholder Proposal”). Mylan appreciates the UAW’s perspective and welcomed the opportunity to discuss the Shareholder Proposal with shareholders, and so the Mylan Board decided to include the Shareholder Proposal for discussion at the AGM. Although the Shareholder Proposal was presented as a discussion item, the Company also decided to solicit shareholder views through the proxy card as a contribution to the discussion at the AGM. As a result of this solicitation, a majority of the proxies received indicated support for the Shareholder Proposal. As set forth in the Proxy Statement, any proxies indicating “Abstain” or deemed to express no view had no effect on determining the percentage of shareholders who supported the Shareholder Proposal. At the AGM, the Chairman of the Mylan Board confirmed that the Mylan Board will continue to consider the views and perspectives expressed by shareholders on this topic.</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information in this Item 7.01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ectPr>
          <w:pgSz w:w="11900" w:h="16838" w:orient="portrait"/>
          <w:cols w:equalWidth="0" w:num="1">
            <w:col w:w="10940"/>
          </w:cols>
          <w:pgMar w:left="440" w:top="274" w:right="51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MYLAN N.V.</w:t>
      </w:r>
    </w:p>
    <w:p>
      <w:pPr>
        <w:spacing w:after="0" w:line="225"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June 21, 2019</w:t>
      </w:r>
      <w:r>
        <w:rPr>
          <w:sz w:val="20"/>
          <w:szCs w:val="20"/>
          <w:color w:val="auto"/>
        </w:rPr>
        <w:tab/>
      </w:r>
      <w:r>
        <w:rPr>
          <w:rFonts w:ascii="Arial" w:cs="Arial" w:eastAsia="Arial" w:hAnsi="Arial"/>
          <w:sz w:val="16"/>
          <w:szCs w:val="16"/>
          <w:color w:val="auto"/>
        </w:rPr>
        <w:t>By:  /s/ Kenneth S.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Kenneth S. Parks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720"/>
      </w:cols>
      <w:pgMar w:left="440" w:top="27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2019-12-01T13:50:26Z</dcterms:created>
  <dcterms:modified xsi:type="dcterms:W3CDTF">2019-12-01T13:50:26Z</dcterms:modified>
</cp:coreProperties>
</file>