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286385</wp:posOffset>
            </wp:positionH>
            <wp:positionV relativeFrom="page">
              <wp:posOffset>397510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-175895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0" w:lineRule="exact"/>
        <w:rPr>
          <w:sz w:val="24"/>
          <w:szCs w:val="24"/>
          <w:color w:val="auto"/>
        </w:rPr>
      </w:pPr>
    </w:p>
    <w:p>
      <w:pPr>
        <w:ind w:left="700" w:right="4800" w:hanging="665"/>
        <w:spacing w:after="0" w:line="325" w:lineRule="auto"/>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700" w:hanging="665"/>
        <w:spacing w:after="0" w:line="233" w:lineRule="auto"/>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9" w:lineRule="exact"/>
        <w:rPr>
          <w:sz w:val="24"/>
          <w:szCs w:val="24"/>
          <w:color w:val="auto"/>
        </w:rPr>
      </w:pPr>
    </w:p>
    <w:p>
      <w:pPr>
        <w:ind w:left="700"/>
        <w:spacing w:after="0"/>
        <w:tabs>
          <w:tab w:leader="none" w:pos="3340" w:val="left"/>
          <w:tab w:leader="none" w:pos="4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1-9114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MYLAN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420"/>
          </w:cols>
          <w:pgMar w:left="240" w:top="913" w:right="239" w:bottom="1440" w:gutter="0" w:footer="0" w:header="0"/>
        </w:sectPr>
      </w:pPr>
    </w:p>
    <w:p>
      <w:pPr>
        <w:spacing w:after="0" w:line="149"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Pennsylvania</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25-1211621</w:t>
      </w:r>
    </w:p>
    <w:p>
      <w:pPr>
        <w:spacing w:after="0" w:line="91" w:lineRule="exact"/>
        <w:rPr>
          <w:sz w:val="24"/>
          <w:szCs w:val="24"/>
          <w:color w:val="auto"/>
        </w:rPr>
      </w:pPr>
    </w:p>
    <w:p>
      <w:pPr>
        <w:sectPr>
          <w:pgSz w:w="11900" w:h="16838" w:orient="portrait"/>
          <w:cols w:equalWidth="0" w:num="2">
            <w:col w:w="7280" w:space="720"/>
            <w:col w:w="3420"/>
          </w:cols>
          <w:pgMar w:left="240" w:top="913" w:right="239" w:bottom="1440" w:gutter="0" w:footer="0" w:header="0"/>
          <w:type w:val="continuous"/>
        </w:sectPr>
      </w:pPr>
    </w:p>
    <w:p>
      <w:pPr>
        <w:ind w:left="92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58" w:lineRule="exact"/>
        <w:rPr>
          <w:sz w:val="24"/>
          <w:szCs w:val="24"/>
          <w:color w:val="auto"/>
        </w:rPr>
      </w:pPr>
    </w:p>
    <w:p>
      <w:pPr>
        <w:sectPr>
          <w:pgSz w:w="11900" w:h="16838" w:orient="portrait"/>
          <w:cols w:equalWidth="0" w:num="2">
            <w:col w:w="6640" w:space="720"/>
            <w:col w:w="4060"/>
          </w:cols>
          <w:pgMar w:left="240" w:top="913"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1500 Corporate Drive, Canonsburg, Pennsylvania 15317</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(724) 514-1800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420"/>
          </w:cols>
          <w:pgMar w:left="240" w:top="91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90"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99" w:lineRule="exact"/>
        <w:rPr>
          <w:sz w:val="24"/>
          <w:szCs w:val="24"/>
          <w:color w:val="auto"/>
        </w:rPr>
      </w:pPr>
    </w:p>
    <w:p>
      <w:pPr>
        <w:sectPr>
          <w:pgSz w:w="11900" w:h="16838" w:orient="portrait"/>
          <w:cols w:equalWidth="0" w:num="2">
            <w:col w:w="6060" w:space="720"/>
            <w:col w:w="4640"/>
          </w:cols>
          <w:pgMar w:left="240" w:top="913" w:right="239" w:bottom="1440" w:gutter="0" w:footer="0" w:header="0"/>
          <w:type w:val="continuous"/>
        </w:sectPr>
      </w:pPr>
    </w:p>
    <w:p>
      <w:pPr>
        <w:ind w:left="1300"/>
        <w:spacing w:after="0"/>
        <w:rPr>
          <w:sz w:val="20"/>
          <w:szCs w:val="20"/>
          <w:color w:val="auto"/>
        </w:rPr>
      </w:pPr>
      <w:r>
        <w:rPr>
          <w:rFonts w:ascii="Arial" w:cs="Arial" w:eastAsia="Arial" w:hAnsi="Arial"/>
          <w:sz w:val="14"/>
          <w:szCs w:val="14"/>
          <w:color w:val="auto"/>
        </w:rPr>
        <w:t>Common Stock, par value $0.50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80" w:lineRule="exact"/>
        <w:rPr>
          <w:sz w:val="24"/>
          <w:szCs w:val="24"/>
          <w:color w:val="auto"/>
        </w:rPr>
      </w:pPr>
    </w:p>
    <w:p>
      <w:pPr>
        <w:sectPr>
          <w:pgSz w:w="11900" w:h="16838" w:orient="portrait"/>
          <w:cols w:equalWidth="0" w:num="2">
            <w:col w:w="6740" w:space="720"/>
            <w:col w:w="3960"/>
          </w:cols>
          <w:pgMar w:left="240" w:top="913"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38" w:orient="portrait"/>
          <w:cols w:equalWidth="0" w:num="1">
            <w:col w:w="11420"/>
          </w:cols>
          <w:pgMar w:left="240" w:top="913" w:right="239" w:bottom="1440" w:gutter="0" w:footer="0" w:header="0"/>
          <w:type w:val="continuous"/>
        </w:sectPr>
      </w:pPr>
    </w:p>
    <w:p>
      <w:pPr>
        <w:spacing w:after="0" w:line="10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8040" w:space="160"/>
            <w:col w:w="240" w:space="80"/>
            <w:col w:w="140" w:space="260"/>
            <w:col w:w="200" w:space="80"/>
            <w:col w:w="2220"/>
          </w:cols>
          <w:pgMar w:left="240" w:top="913" w:right="23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ectPr>
          <w:pgSz w:w="11900" w:h="16838" w:orient="portrait"/>
          <w:cols w:equalWidth="0" w:num="5">
            <w:col w:w="8200" w:space="160"/>
            <w:col w:w="220" w:space="80"/>
            <w:col w:w="160" w:space="240"/>
            <w:col w:w="200" w:space="80"/>
            <w:col w:w="2080"/>
          </w:cols>
          <w:pgMar w:left="240" w:top="913" w:right="239" w:bottom="1440" w:gutter="0" w:footer="0" w:header="0"/>
          <w:type w:val="continuous"/>
        </w:sect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43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13" w:right="239" w:bottom="1440" w:gutter="0" w:footer="0" w:header="0"/>
          <w:type w:val="continuous"/>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38" w:orient="portrait"/>
          <w:cols w:equalWidth="0" w:num="4">
            <w:col w:w="1580" w:space="720"/>
            <w:col w:w="3980" w:space="720"/>
            <w:col w:w="1560" w:space="720"/>
            <w:col w:w="2140"/>
          </w:cols>
          <w:pgMar w:left="240" w:top="913"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5">
            <w:col w:w="1580" w:space="720"/>
            <w:col w:w="140" w:space="140"/>
            <w:col w:w="3700" w:space="720"/>
            <w:col w:w="1780" w:space="500"/>
            <w:col w:w="2140"/>
          </w:cols>
          <w:pgMar w:left="240" w:top="913" w:right="239" w:bottom="1440" w:gutter="0" w:footer="0" w:header="0"/>
          <w:type w:val="continuous"/>
        </w:sectPr>
      </w:pPr>
    </w:p>
    <w:p>
      <w:pPr>
        <w:spacing w:after="0" w:line="30" w:lineRule="exact"/>
        <w:rPr>
          <w:sz w:val="24"/>
          <w:szCs w:val="24"/>
          <w:color w:val="auto"/>
        </w:rPr>
      </w:pPr>
    </w:p>
    <w:p>
      <w:pPr>
        <w:ind w:left="4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6" w:lineRule="exact"/>
        <w:rPr>
          <w:sz w:val="24"/>
          <w:szCs w:val="24"/>
          <w:color w:val="auto"/>
        </w:rPr>
      </w:pPr>
    </w:p>
    <w:p>
      <w:pPr>
        <w:sectPr>
          <w:pgSz w:w="11900" w:h="16838" w:orient="portrait"/>
          <w:cols w:equalWidth="0" w:num="5">
            <w:col w:w="7120" w:space="160"/>
            <w:col w:w="240" w:space="80"/>
            <w:col w:w="140" w:space="240"/>
            <w:col w:w="200" w:space="80"/>
            <w:col w:w="3160"/>
          </w:cols>
          <w:pgMar w:left="240" w:top="913" w:right="239" w:bottom="1440" w:gutter="0" w:footer="0" w:header="0"/>
          <w:type w:val="continuous"/>
        </w:sectPr>
      </w:pPr>
    </w:p>
    <w:p>
      <w:pPr>
        <w:ind w:firstLine="432"/>
        <w:spacing w:after="0" w:line="275" w:lineRule="auto"/>
        <w:rPr>
          <w:sz w:val="20"/>
          <w:szCs w:val="20"/>
          <w:color w:val="auto"/>
        </w:rPr>
      </w:pPr>
      <w:r>
        <w:rPr>
          <w:rFonts w:ascii="Arial" w:cs="Arial" w:eastAsia="Arial" w:hAnsi="Arial"/>
          <w:sz w:val="16"/>
          <w:szCs w:val="16"/>
          <w:color w:val="auto"/>
        </w:rPr>
        <w:t>The aggregate market value of the outstanding common stock, other than shares held by persons who may be deemed affiliates of the registrant, as of June 30, 2012, the last business day of the registrant’s most recently completed second fiscal quarter, was approximately $8,624,667,439.</w:t>
      </w:r>
    </w:p>
    <w:p>
      <w:pPr>
        <w:spacing w:after="0" w:line="2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number of shares outstanding of common stock of the registrant as of February 25, 2013, was 395,550,874.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176"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Part of Form 10-K into Which</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5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Document</w:t>
            </w:r>
          </w:p>
        </w:tc>
        <w:tc>
          <w:tcPr>
            <w:tcW w:w="30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0"/>
              </w:rPr>
              <w:t>Document is Incorporated</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300" w:type="dxa"/>
            <w:vAlign w:val="bottom"/>
            <w:gridSpan w:val="4"/>
            <w:vMerge w:val="restart"/>
          </w:tcPr>
          <w:p>
            <w:pPr>
              <w:spacing w:after="0"/>
              <w:rPr>
                <w:sz w:val="20"/>
                <w:szCs w:val="20"/>
                <w:color w:val="auto"/>
              </w:rPr>
            </w:pPr>
            <w:r>
              <w:rPr>
                <w:rFonts w:ascii="Arial" w:cs="Arial" w:eastAsia="Arial" w:hAnsi="Arial"/>
                <w:sz w:val="16"/>
                <w:szCs w:val="16"/>
                <w:color w:val="auto"/>
              </w:rPr>
              <w:t>Proxy Statement for the 2013 Annual Meeting of Shareholders, which will be filed with the Securities and Exchange</w:t>
            </w:r>
          </w:p>
        </w:tc>
        <w:tc>
          <w:tcPr>
            <w:tcW w:w="2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300" w:type="dxa"/>
            <w:vAlign w:val="bottom"/>
            <w:gridSpan w:val="4"/>
            <w:vMerge w:val="continue"/>
          </w:tcPr>
          <w:p>
            <w:pPr>
              <w:spacing w:after="0"/>
              <w:rPr>
                <w:sz w:val="17"/>
                <w:szCs w:val="17"/>
                <w:color w:val="auto"/>
              </w:rPr>
            </w:pPr>
          </w:p>
        </w:tc>
        <w:tc>
          <w:tcPr>
            <w:tcW w:w="3080" w:type="dxa"/>
            <w:vAlign w:val="bottom"/>
            <w:gridSpan w:val="2"/>
          </w:tcPr>
          <w:p>
            <w:pPr>
              <w:jc w:val="center"/>
              <w:spacing w:after="0"/>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206"/>
        </w:trPr>
        <w:tc>
          <w:tcPr>
            <w:tcW w:w="8300" w:type="dxa"/>
            <w:vAlign w:val="bottom"/>
            <w:gridSpan w:val="4"/>
          </w:tcPr>
          <w:p>
            <w:pPr>
              <w:spacing w:after="0"/>
              <w:rPr>
                <w:sz w:val="20"/>
                <w:szCs w:val="20"/>
                <w:color w:val="auto"/>
              </w:rPr>
            </w:pPr>
            <w:r>
              <w:rPr>
                <w:rFonts w:ascii="Arial" w:cs="Arial" w:eastAsia="Arial" w:hAnsi="Arial"/>
                <w:sz w:val="16"/>
                <w:szCs w:val="16"/>
                <w:color w:val="auto"/>
              </w:rPr>
              <w:t>Commission within 120 days after the end of the registrant’s fiscal year ended December 31, 2012.</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rPr>
              <w:t>MYLAN INC.</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rPr>
              <w:t>INDEX TO FORM 10-K</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80" w:type="dxa"/>
            <w:vAlign w:val="bottom"/>
            <w:gridSpan w:val="9"/>
          </w:tcPr>
          <w:p>
            <w:pPr>
              <w:jc w:val="center"/>
              <w:ind w:right="2680"/>
              <w:spacing w:after="0"/>
              <w:rPr>
                <w:sz w:val="20"/>
                <w:szCs w:val="20"/>
                <w:color w:val="auto"/>
              </w:rPr>
            </w:pPr>
            <w:r>
              <w:rPr>
                <w:rFonts w:ascii="Arial" w:cs="Arial" w:eastAsia="Arial" w:hAnsi="Arial"/>
                <w:sz w:val="18"/>
                <w:szCs w:val="18"/>
                <w:b w:val="1"/>
                <w:bCs w:val="1"/>
                <w:color w:val="auto"/>
                <w:w w:val="90"/>
              </w:rPr>
              <w:t>For the Year Ended December 31, 2012</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20" w:type="dxa"/>
            <w:vAlign w:val="bottom"/>
            <w:gridSpan w:val="8"/>
          </w:tcPr>
          <w:p>
            <w:pPr>
              <w:jc w:val="center"/>
              <w:ind w:right="4620"/>
              <w:spacing w:after="0"/>
              <w:rPr>
                <w:sz w:val="20"/>
                <w:szCs w:val="20"/>
                <w:color w:val="auto"/>
              </w:rPr>
            </w:pPr>
            <w:r>
              <w:rPr>
                <w:rFonts w:ascii="Arial" w:cs="Arial" w:eastAsia="Arial" w:hAnsi="Arial"/>
                <w:sz w:val="18"/>
                <w:szCs w:val="18"/>
                <w:b w:val="1"/>
                <w:bCs w:val="1"/>
                <w:color w:val="auto"/>
                <w:w w:val="98"/>
              </w:rPr>
              <w:t>PART I</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8000" w:type="dxa"/>
            <w:vAlign w:val="bottom"/>
            <w:gridSpan w:val="18"/>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21">
              <w:r>
                <w:rPr>
                  <w:rFonts w:ascii="Arial" w:cs="Arial" w:eastAsia="Arial" w:hAnsi="Arial"/>
                  <w:sz w:val="18"/>
                  <w:szCs w:val="18"/>
                  <w:color w:val="0000FF"/>
                  <w:w w:val="87"/>
                </w:rPr>
                <w:t>Risk Factors</w:t>
              </w:r>
            </w:hyperlink>
          </w:p>
        </w:tc>
        <w:tc>
          <w:tcPr>
            <w:tcW w:w="7740" w:type="dxa"/>
            <w:vAlign w:val="bottom"/>
            <w:gridSpan w:val="16"/>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Unresolved Staff Comments</w:t>
              </w:r>
            </w:hyperlink>
          </w:p>
        </w:tc>
        <w:tc>
          <w:tcPr>
            <w:tcW w:w="6600" w:type="dxa"/>
            <w:vAlign w:val="bottom"/>
            <w:gridSpan w:val="1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Properties</w:t>
              </w:r>
            </w:hyperlink>
          </w:p>
        </w:tc>
        <w:tc>
          <w:tcPr>
            <w:tcW w:w="6600" w:type="dxa"/>
            <w:vAlign w:val="bottom"/>
            <w:gridSpan w:val="10"/>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640" w:type="dxa"/>
            <w:vAlign w:val="bottom"/>
            <w:gridSpan w:val="1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58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gridSpan w:val="8"/>
          </w:tcPr>
          <w:p>
            <w:pPr>
              <w:jc w:val="center"/>
              <w:ind w:right="4600"/>
              <w:spacing w:after="0"/>
              <w:rPr>
                <w:sz w:val="20"/>
                <w:szCs w:val="20"/>
                <w:color w:val="auto"/>
              </w:rPr>
            </w:pPr>
            <w:r>
              <w:rPr>
                <w:rFonts w:ascii="Arial" w:cs="Arial" w:eastAsia="Arial" w:hAnsi="Arial"/>
                <w:sz w:val="18"/>
                <w:szCs w:val="18"/>
                <w:b w:val="1"/>
                <w:bCs w:val="1"/>
                <w:color w:val="auto"/>
                <w:w w:val="99"/>
              </w:rPr>
              <w:t>PART II</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640" w:type="dxa"/>
            <w:vAlign w:val="bottom"/>
            <w:gridSpan w:val="19"/>
          </w:tcPr>
          <w:p>
            <w:pPr>
              <w:spacing w:after="0"/>
              <w:rPr>
                <w:rFonts w:ascii="Arial" w:cs="Arial" w:eastAsia="Arial" w:hAnsi="Arial"/>
                <w:sz w:val="18"/>
                <w:szCs w:val="18"/>
                <w:color w:val="0000FF"/>
                <w:w w:val="96"/>
              </w:rPr>
            </w:pPr>
            <w:hyperlink w:anchor="page41">
              <w:r>
                <w:rPr>
                  <w:rFonts w:ascii="Arial" w:cs="Arial" w:eastAsia="Arial" w:hAnsi="Arial"/>
                  <w:sz w:val="18"/>
                  <w:szCs w:val="18"/>
                  <w:color w:val="0000FF"/>
                  <w:w w:val="96"/>
                </w:rPr>
                <w:t>Market for Registrant’s Common Equity, Related Stockholder Matters and Issuer Purchases of Equity Securities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Selected Financial Data</w:t>
              </w:r>
            </w:hyperlink>
          </w:p>
        </w:tc>
        <w:tc>
          <w:tcPr>
            <w:tcW w:w="58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Management’s Discussion and Analysis of Financial Condition and Results of Operations</w:t>
              </w:r>
            </w:hyperlink>
          </w:p>
        </w:tc>
        <w:tc>
          <w:tcPr>
            <w:tcW w:w="21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4"/>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Quantitative and Qualitative Disclosures about Market Risk</w:t>
              </w:r>
            </w:hyperlink>
          </w:p>
        </w:tc>
        <w:tc>
          <w:tcPr>
            <w:tcW w:w="2160" w:type="dxa"/>
            <w:vAlign w:val="bottom"/>
            <w:gridSpan w:val="2"/>
          </w:tcPr>
          <w:p>
            <w:pPr>
              <w:spacing w:after="0"/>
              <w:rPr>
                <w:sz w:val="21"/>
                <w:szCs w:val="21"/>
                <w:color w:val="auto"/>
              </w:rPr>
            </w:pPr>
          </w:p>
        </w:tc>
        <w:tc>
          <w:tcPr>
            <w:tcW w:w="21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Financial Statements and Supplementary Data</w:t>
              </w:r>
            </w:hyperlink>
          </w:p>
        </w:tc>
        <w:tc>
          <w:tcPr>
            <w:tcW w:w="434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640" w:type="dxa"/>
            <w:vAlign w:val="bottom"/>
            <w:gridSpan w:val="19"/>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Changes in and Disagreements with Accountants on Accounting and Financial Disclosure</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117">
              <w:r>
                <w:rPr>
                  <w:rFonts w:ascii="Arial" w:cs="Arial" w:eastAsia="Arial" w:hAnsi="Arial"/>
                  <w:sz w:val="18"/>
                  <w:szCs w:val="18"/>
                  <w:color w:val="0000FF"/>
                </w:rPr>
                <w:t>118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FF"/>
            </w:tcBorders>
            <w:gridSpan w:val="16"/>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Controls and Procedures</w:t>
              </w:r>
            </w:hyperlink>
          </w:p>
        </w:tc>
        <w:tc>
          <w:tcPr>
            <w:tcW w:w="2180" w:type="dxa"/>
            <w:vAlign w:val="bottom"/>
            <w:gridSpan w:val="3"/>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118</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Other Information</w:t>
              </w:r>
            </w:hyperlink>
          </w:p>
        </w:tc>
        <w:tc>
          <w:tcPr>
            <w:tcW w:w="6880" w:type="dxa"/>
            <w:vAlign w:val="bottom"/>
            <w:gridSpan w:val="12"/>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18">
              <w:r>
                <w:rPr>
                  <w:rFonts w:ascii="Arial" w:cs="Arial" w:eastAsia="Arial" w:hAnsi="Arial"/>
                  <w:sz w:val="18"/>
                  <w:szCs w:val="18"/>
                  <w:color w:val="0000FF"/>
                  <w:w w:val="86"/>
                </w:rPr>
                <w:t>118</w:t>
              </w:r>
            </w:hyperlink>
          </w:p>
        </w:tc>
        <w:tc>
          <w:tcPr>
            <w:tcW w:w="20" w:type="dxa"/>
            <w:vAlign w:val="bottom"/>
          </w:tcPr>
          <w:p>
            <w:pPr>
              <w:spacing w:after="0"/>
              <w:rPr>
                <w:sz w:val="21"/>
                <w:szCs w:val="21"/>
                <w:color w:val="auto"/>
              </w:rPr>
            </w:pPr>
          </w:p>
        </w:tc>
      </w:tr>
      <w:tr>
        <w:trPr>
          <w:trHeight w:val="58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80" w:type="dxa"/>
            <w:vAlign w:val="bottom"/>
            <w:gridSpan w:val="9"/>
          </w:tcPr>
          <w:p>
            <w:pPr>
              <w:jc w:val="center"/>
              <w:ind w:right="4140"/>
              <w:spacing w:after="0"/>
              <w:rPr>
                <w:sz w:val="20"/>
                <w:szCs w:val="20"/>
                <w:color w:val="auto"/>
              </w:rPr>
            </w:pPr>
            <w:r>
              <w:rPr>
                <w:rFonts w:ascii="Arial" w:cs="Arial" w:eastAsia="Arial" w:hAnsi="Arial"/>
                <w:sz w:val="18"/>
                <w:szCs w:val="18"/>
                <w:b w:val="1"/>
                <w:bCs w:val="1"/>
                <w:color w:val="auto"/>
              </w:rPr>
              <w:t>PART III</w:t>
            </w:r>
          </w:p>
        </w:tc>
        <w:tc>
          <w:tcPr>
            <w:tcW w:w="1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640" w:type="dxa"/>
            <w:vAlign w:val="bottom"/>
            <w:gridSpan w:val="19"/>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Directors, Executive Officers and Corporate Governance</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119">
              <w:r>
                <w:rPr>
                  <w:rFonts w:ascii="Arial" w:cs="Arial" w:eastAsia="Arial" w:hAnsi="Arial"/>
                  <w:sz w:val="18"/>
                  <w:szCs w:val="18"/>
                  <w:color w:val="0000FF"/>
                </w:rPr>
                <w:t>119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119">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4"/>
          </w:tcPr>
          <w:p>
            <w:pPr>
              <w:spacing w:after="0"/>
              <w:rPr>
                <w:sz w:val="21"/>
                <w:szCs w:val="21"/>
                <w:color w:val="auto"/>
              </w:rPr>
            </w:pPr>
          </w:p>
        </w:tc>
        <w:tc>
          <w:tcPr>
            <w:tcW w:w="4560" w:type="dxa"/>
            <w:vAlign w:val="bottom"/>
            <w:gridSpan w:val="7"/>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86"/>
              </w:rPr>
            </w:pPr>
            <w:hyperlink w:anchor="page119">
              <w:r>
                <w:rPr>
                  <w:rFonts w:ascii="Arial" w:cs="Arial" w:eastAsia="Arial" w:hAnsi="Arial"/>
                  <w:sz w:val="18"/>
                  <w:szCs w:val="18"/>
                  <w:color w:val="0000FF"/>
                  <w:w w:val="86"/>
                </w:rPr>
                <w:t>119</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640" w:type="dxa"/>
            <w:vAlign w:val="bottom"/>
            <w:gridSpan w:val="19"/>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Security Ownership of Certain Beneficial Owners and Management and Related Stockholder Matters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119">
              <w:r>
                <w:rPr>
                  <w:rFonts w:ascii="Arial" w:cs="Arial" w:eastAsia="Arial" w:hAnsi="Arial"/>
                  <w:sz w:val="18"/>
                  <w:szCs w:val="18"/>
                  <w:color w:val="0000FF"/>
                </w:rPr>
                <w:t>119</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7"/>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Certain Relationships and Related Transactions, and Director Independence</w:t>
              </w:r>
            </w:hyperlink>
          </w:p>
        </w:tc>
        <w:tc>
          <w:tcPr>
            <w:tcW w:w="13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19">
              <w:r>
                <w:rPr>
                  <w:rFonts w:ascii="Arial" w:cs="Arial" w:eastAsia="Arial" w:hAnsi="Arial"/>
                  <w:sz w:val="18"/>
                  <w:szCs w:val="18"/>
                  <w:color w:val="0000FF"/>
                  <w:w w:val="86"/>
                </w:rPr>
                <w:t>119</w:t>
              </w:r>
            </w:hyperlink>
          </w:p>
        </w:tc>
        <w:tc>
          <w:tcPr>
            <w:tcW w:w="20" w:type="dxa"/>
            <w:vAlign w:val="bottom"/>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5"/>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Principal Accounting Fees and Services</w:t>
              </w:r>
            </w:hyperlink>
          </w:p>
        </w:tc>
        <w:tc>
          <w:tcPr>
            <w:tcW w:w="3200" w:type="dxa"/>
            <w:vAlign w:val="bottom"/>
            <w:gridSpan w:val="4"/>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19">
              <w:r>
                <w:rPr>
                  <w:rFonts w:ascii="Arial" w:cs="Arial" w:eastAsia="Arial" w:hAnsi="Arial"/>
                  <w:sz w:val="18"/>
                  <w:szCs w:val="18"/>
                  <w:color w:val="0000FF"/>
                  <w:w w:val="86"/>
                </w:rPr>
                <w:t>119</w:t>
              </w:r>
            </w:hyperlink>
          </w:p>
        </w:tc>
        <w:tc>
          <w:tcPr>
            <w:tcW w:w="20" w:type="dxa"/>
            <w:vAlign w:val="bottom"/>
          </w:tcPr>
          <w:p>
            <w:pPr>
              <w:spacing w:after="0"/>
              <w:rPr>
                <w:sz w:val="21"/>
                <w:szCs w:val="21"/>
                <w:color w:val="auto"/>
              </w:rPr>
            </w:pPr>
          </w:p>
        </w:tc>
      </w:tr>
      <w:tr>
        <w:trPr>
          <w:trHeight w:val="58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gridSpan w:val="8"/>
          </w:tcPr>
          <w:p>
            <w:pPr>
              <w:jc w:val="center"/>
              <w:ind w:right="4600"/>
              <w:spacing w:after="0"/>
              <w:rPr>
                <w:sz w:val="20"/>
                <w:szCs w:val="20"/>
                <w:color w:val="auto"/>
              </w:rPr>
            </w:pPr>
            <w:r>
              <w:rPr>
                <w:rFonts w:ascii="Arial" w:cs="Arial" w:eastAsia="Arial" w:hAnsi="Arial"/>
                <w:sz w:val="18"/>
                <w:szCs w:val="18"/>
                <w:b w:val="1"/>
                <w:bCs w:val="1"/>
                <w:color w:val="auto"/>
              </w:rPr>
              <w:t>PART IV</w:t>
            </w:r>
          </w:p>
        </w:tc>
        <w:tc>
          <w:tcPr>
            <w:tcW w:w="1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640" w:type="dxa"/>
            <w:vAlign w:val="bottom"/>
            <w:gridSpan w:val="19"/>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Exhibits and Consolidated Financial Statement Schedules</w:t>
              </w:r>
            </w:hyperlink>
          </w:p>
        </w:tc>
        <w:tc>
          <w:tcPr>
            <w:tcW w:w="1480" w:type="dxa"/>
            <w:vAlign w:val="bottom"/>
            <w:gridSpan w:val="5"/>
          </w:tcPr>
          <w:p>
            <w:pPr>
              <w:jc w:val="right"/>
              <w:ind w:right="20"/>
              <w:spacing w:after="0"/>
              <w:rPr>
                <w:rFonts w:ascii="Arial" w:cs="Arial" w:eastAsia="Arial" w:hAnsi="Arial"/>
                <w:sz w:val="18"/>
                <w:szCs w:val="18"/>
                <w:color w:val="0000FF"/>
              </w:rPr>
            </w:pPr>
            <w:hyperlink w:anchor="page120">
              <w:r>
                <w:rPr>
                  <w:rFonts w:ascii="Arial" w:cs="Arial" w:eastAsia="Arial" w:hAnsi="Arial"/>
                  <w:sz w:val="18"/>
                  <w:szCs w:val="18"/>
                  <w:color w:val="0000FF"/>
                </w:rPr>
                <w:t>120</w:t>
              </w:r>
            </w:hyperlink>
          </w:p>
        </w:tc>
      </w:tr>
      <w:tr>
        <w:trPr>
          <w:trHeight w:val="250"/>
        </w:trPr>
        <w:tc>
          <w:tcPr>
            <w:tcW w:w="1260" w:type="dxa"/>
            <w:vAlign w:val="bottom"/>
            <w:gridSpan w:val="2"/>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FF"/>
            </w:tcBorders>
            <w:gridSpan w:val="3"/>
          </w:tcPr>
          <w:p>
            <w:pPr>
              <w:jc w:val="right"/>
              <w:spacing w:after="0"/>
              <w:rPr>
                <w:rFonts w:ascii="Arial" w:cs="Arial" w:eastAsia="Arial" w:hAnsi="Arial"/>
                <w:sz w:val="18"/>
                <w:szCs w:val="18"/>
                <w:color w:val="0000FF"/>
                <w:w w:val="86"/>
              </w:rPr>
            </w:pPr>
            <w:hyperlink w:anchor="page126">
              <w:r>
                <w:rPr>
                  <w:rFonts w:ascii="Arial" w:cs="Arial" w:eastAsia="Arial" w:hAnsi="Arial"/>
                  <w:sz w:val="18"/>
                  <w:szCs w:val="18"/>
                  <w:color w:val="0000FF"/>
                  <w:w w:val="86"/>
                </w:rPr>
                <w:t>127</w:t>
              </w:r>
            </w:hyperlink>
          </w:p>
        </w:tc>
        <w:tc>
          <w:tcPr>
            <w:tcW w:w="20" w:type="dxa"/>
            <w:vAlign w:val="bottom"/>
          </w:tcPr>
          <w:p>
            <w:pPr>
              <w:spacing w:after="0"/>
              <w:rPr>
                <w:sz w:val="21"/>
                <w:szCs w:val="21"/>
                <w:color w:val="auto"/>
              </w:rPr>
            </w:pPr>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gridSpan w:val="15"/>
          </w:tcPr>
          <w:p>
            <w:pPr>
              <w:jc w:val="center"/>
              <w:ind w:left="32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Mylan Inc. along with its subsidiaries (collectively, the “Company,” “Mylan,” “our” or “we”) is a fully integrated global pharmaceutical company that develops, licenses, manufactures, markets and distributes generic, branded generic and specialty pharmaceuticals. Mylan ranks among the leading generic and specialty pharmaceutical companies in the world and provides products to customers in approximately 140 countries and territories. We maintain one of the industry’s broadest and highest quality product portfolios, supported by a robust product pipeline and one of the world’s largest vertically integrated active pharmaceutical ingredient (“API”) operations. Additionally, we operate a specialty business which is focused on respiratory, allergy and psychiatric therapies. Mylan was incorporated in Pennsylvania in 1970.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Throughout its history, Mylan has been recognized as a leader in the United States (“U.S.”) generic pharmaceutical market. Since 2007, Mylan has transformed itself and today is one of the largest generic and specialty pharmaceuticals companies in the world in terms of revenue. This transformation has taken place through organic growth and external expansion. Our leadership position in the U.S. generic pharmaceutical industry is the result of our ability to obtain Abbreviated New Drug Application (“ANDA”) approvals, as well as our reliable and high quality supply chain. Through the acquisitions of Mylan Laboratories Limited (formerly known as Matrix Laboratories Limited), Merck KGaA’s generics and specialty pharmaceutical business (the “former Merck Generics business”), Bioniche Pharma Holdings Limited (“Bioniche Pharma”) and Pfizer Inc.’s (“Pfizer’s”) respiratory delivery platform, we have created a horizontally and vertically integrated platform with global scale, augmented our diversified product portfolio and further expanded our range of capabilities, all of which we believe position us well for the future.</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to the U.S., Mylan has a robust worldwide commercial presence in the generic pharmaceutical market, including leadership positions in France and Australia and several other key European and Asia Pacific markets, as well as a leading branded specialty pharmaceutical business focusing on respiratory, allergy and psychiatric products.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Currently, Mylan markets a global portfolio of approximately 1,100 different products covering a vast array of therapeutic categories. We offer an extensive range of dosage forms and delivery systems, including oral solids, topicals, liquids and semi-solids. In addition, we focus on those that are difficult to formulate and manufacture and typically have longer product life cycles than traditional generic pharmaceuticals, including transdermal patches, high potency formulations, injectables, controlled-release and respiratory products. Mylan also manufactures and supplies low cost, high quality API for its own products and pipeline, as well as for third parties.</w:t>
      </w:r>
    </w:p>
    <w:p>
      <w:pPr>
        <w:spacing w:after="0" w:line="18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Mylan also has one of the deepest pipelines and largest number of products pending regulatory approval in our history. Increasing sales volumes and continuing leverage of our vertically integrated platform provides substantial operational efficiencies and economies of scale.</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believe that the breadth and depth of our business and platform provides certain competitive advantages over many of our competitors in major markets in which we operate, including less dependency on any single market or product, and, as a result, we are better able to successfully compete on a global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Mylan has two segments, “Generics” and “Specialty.” Our revenues are primarily derived from the sale of generic and branded generic pharmaceuticals, specialty pharmaceuticals and API. Our generic pharmaceutical business is conducted primarily in the U.S. and Canada (collectively, “North America”); Europe, the Middle East, and Africa (collectively, “EMEA”); and India, Australia, Japan and New Zealand (collectively, “Asia Pacific”). Our API business is conducted through Mylan Laboratories Limited (“Mylan India”), which is included within the Asia Pacific region in our Generics Segment. Our specialty pharmaceutical business is conducted by Mylan Specialty L.P. (“Mylan Specialty”). Refer to Note 13 to Consolidated Financial Statements included in Item 8 in this Form 10-K for additional information related to our segments.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Generics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U.S. generics market is the largest in the world, with generic prescription market sales of $46.0 billion for the twelve months ended November 2012. Mylan holds the number two ranking in the U.S. generics prescription market in terms of both sales and prescriptions dispensed. One in every 11 prescriptions dispensed in the U.S. is a Mylan product. Our sales in the U.S. are derived principally through our wholly owned subsidiary Mylan Pharmaceuticals Inc. (“MPI”), our primary U.S. pharmaceutical research, development, manufacturing, marketing and distribution subsidiary, as well as through our wholly owned subsidiary Mylan Institutional (“MI”). MI supplies pharmaceutical products and services to institutional customers, such as group purchasing organizations, hospitals and long-term care facilities.</w:t>
      </w:r>
    </w:p>
    <w:p>
      <w:pPr>
        <w:spacing w:after="0" w:line="193"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MPI’s net revenues are derived primarily from the sale of solid oral dosage and transdermal patch products. MI’s net revenues are derived from the sale of its unit dose and injectable product offerings. In the U.S., we have one of the largest product portfolios among all generic pharmaceutical companies, consisting of approximately 365 products, of which approximately 310 are in capsule or tablet form in an aggregate of approximately 880 dosage strengths. Included in these totals are approximately 40 extended-release products in a total of approximately 105 dosage strengths.</w:t>
      </w:r>
    </w:p>
    <w:p>
      <w:pPr>
        <w:spacing w:after="0" w:line="154" w:lineRule="exact"/>
        <w:rPr>
          <w:sz w:val="20"/>
          <w:szCs w:val="20"/>
          <w:color w:val="auto"/>
        </w:rPr>
      </w:pPr>
    </w:p>
    <w:p>
      <w:pPr>
        <w:ind w:right="420" w:firstLine="648"/>
        <w:spacing w:after="0" w:line="302" w:lineRule="auto"/>
        <w:rPr>
          <w:sz w:val="20"/>
          <w:szCs w:val="20"/>
          <w:color w:val="auto"/>
        </w:rPr>
      </w:pPr>
      <w:r>
        <w:rPr>
          <w:rFonts w:ascii="Arial" w:cs="Arial" w:eastAsia="Arial" w:hAnsi="Arial"/>
          <w:sz w:val="16"/>
          <w:szCs w:val="16"/>
          <w:color w:val="auto"/>
        </w:rPr>
        <w:t>Also included in our U.S. product portfolio are three transdermal patch products in a total of 15 dosage strengths that are developed and manufactured by Mylan Technologies, Inc. (“MTI”), our wholly owned transdermal technology subsidiary, and marketed and distributed by MPI. MTI’s fentanyl transdermal system (“fentanyl”) was the first AB-rated generic alternative to Duragesic® on the market and was also the first generic class II narcotic transdermal product ever approved. MTI’s fentanyl product currently remains the only AB-rated generic alternative approved in all strengths.</w:t>
      </w:r>
    </w:p>
    <w:p>
      <w:pPr>
        <w:spacing w:after="0" w:line="15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Mylan Institutional focuses on providing a differentiated product offering tailored to institutional customers throughout North America, including group purchasing organizations, wholesalers, hospitals, surgical services, home infusion service providers, long-term care facilities, correctional facilities, specialty pharmacies and retail outlets. MI markets and repackages products, either obtained from MPI or purchased from third parties, in unit dose form, and manufactures and sells a diverse portfolio of injectable products across several therapeutic areas, with most of the Company’s sales made to customers in the U.S. MI also provides a platform for the commercialization of future biogeneric product offerings. MI has, among other product offerings, a diverse portfolio of approximately 40 injectable products (branded and generic) in a total of approximately 60 dosage strengths, across several therapeutic areas for the hospital setting, including analgesics/anesthetics, anti-infections, cardiology and oncology. In addition to the products we manufacture in the U.S., we also market approximately 50 generic products in a total of approximately 75 dosage strengths under supply and distribution agreements with wholesalers.</w:t>
      </w:r>
    </w:p>
    <w:p>
      <w:pPr>
        <w:spacing w:after="0" w:line="16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believe that the breadth and quality of our product offerings help us to successfully meet our customers’ needs and to better compete in the generic industry over the long term. We also believe that the future growth of our U.S. generics business is partially dependent upon continued acceptance of generic products as low cost alternatives to branded pharmaceuticals, a trend which is largely outside of our control. However, we believe that we can maximize the profitability of our generic product opportunities by continuing our proven track record of bringing to market high quality products that are difficult to formulate or manufacture, or for which the API is difficult to obtain. Over the last several years, in addition to fentanyl, we have successfully introduced many generic products with high barriers to entry that continue to be meaningful contributors to our business several years after their initial launch. Additionally, we expect to achieve growth in our U.S. business by launching new products for which we may attain U.S. Food and Drug Administration (“FDA”) first-to-file status with Paragraph IV certification. As described further in the “Product Development and Government Regulation” discussion below, this Paragraph IV certification makes the product approval holder eligible for a period of generic marketing and distribution exclusivity.</w:t>
      </w:r>
    </w:p>
    <w:p>
      <w:pPr>
        <w:spacing w:after="0" w:line="16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North America revenues also include those generated by our wholly owned subsidiary Mylan Pharmaceuticals ULC (“MPC”), which markets generic pharmaceuticals in Canada, the world’s fifth largest generic prescription market by value and the sixth largest generic prescription market by volume with sales of $4.4 billion for the twelve months ended November 2012. MPC offers a portfolio of approximately 120 products in an aggregate of approximately 300 dosage strengths, and currently ranks fifth in terms of market share in the generic prescription market in Canada. As in the U.S., we believe that growth in Canada will be dependent upon acceptance of generic products as low cost alternatives to branded pharmaceuticals. Further, we plan to leverage the strength and reliability of the Mylan brand in the U.S. to foster growth throughout North America.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generic pharmaceutical sales in EMEA are generated primarily by our wholly owned subsidiaries in Europe, through which we have operations in 21 countries. The types of markets within Europe vary from country to country; however, when combined, the European market is the second largest generic pharmaceutical market in the world. Within Europe, by value, the generic prescription market in Germany is the largest, followed by France, the United Kingdom (“U.K.”), Spain and Italy, respectively. Of the top ten generic prescription markets in Europe, we hold leadership positions in several company-branded markets, including the number one market share position in France, the number two market share position in Italy and a number three market share position in Belgium and Portugal.</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European generic prescription market varies significantly by country in terms of the extent of generic penetration, the key decision maker in terms of drug choice, and other important aspects. Some countries, including Germany, the U.K., the Netherlands and Poland, are characterized by relatively high generic penetration, ranging between 58% and 69% of total prescription market sales in the twelve months ended November 2012, based on volume. Conversely, other major European markets, including France, Italy and Spain, are characterized by much lower generic penetration, ranging between 17% and 33% of total prescription sales in the twelve months ended November 2012, based on volume. However, recent actions taken by governments, particularly in these latter southern European countries, to reduce health care costs could encourage further use of generic pharmaceutical products. In each of these under-penetrated markets, in addition to growth from new product launches, we expect our future growth to be driven by increased generic utilization and penetration.</w:t>
      </w:r>
    </w:p>
    <w:p>
      <w:pPr>
        <w:spacing w:after="0" w:line="19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manner in which products are marketed also varies by country. In addition to selling pharmaceuticals under their International Nonproprietary Name (“INN”) (i.e., active ingredient), in certain European countries, there is a market for both branded generic products and “company-branded” generic products. Branded generic pharmaceutical products are given a unique brand name, as these markets tend to be more responsive to the promotion efforts generally used to promote brand products. Company-branded products generally consist of the name of the active ingredient with a prefix or suffix of the company’s name, either in whole or in part.</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Some countries, such as France and Italy, permit substitution by pharmacists. In other countries, such as the U.K., most prescriptions are written using the INN, which allows the pharmacist to dispense his or her preferred generic. However, if the prescription is written for the brand, then the brand must be dispensed.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France, through our subsidiary Mylan S.A.S., we market a portfolio of approximately 305 products in an aggregate of approximately 645 dosage strengths. In France, we have the highest market share in the company-branded generic prescription market, with a share of approximately 28%. Our future growth in the French market is expected to come primarily from new product launches and increased generic utilization and penetration through government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Italy, we market through our subsidiary Mylan S.p.A. a portfolio of approximately 175 products in an aggregate of approximately 345 dosage strengths. In Italy, we have the second highest market share in the company-branded generic prescription market. We believe that the Italian generic market is under-penetrated, with company-branded generics representing approximately 17% of the Italian pharmaceutical market, based on volume. The Italian government has put forth only limited measures aimed at encouraging generic use, and as a result, generic substitution is still in its early stages. Our growth in the Italian generics market will be fueled by increasing generic utilization and penetration and new product launches.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Spain, we market through our subsidiary Mylan Pharmaceuticals S.L. a portfolio of approximately 110 products in an aggregate of approximately 300 dosage strengths. In Spain, we have the seventh highest market share in the company-branded generic prescription market. The company-branded generic market comprised approximately 29% of the total Spanish pharmaceutical market by volume for the twelve months ended November 2012. We view further generic utilization and penetration of the Spanish market to be a key driver of our growth in that country.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Germany, we market through our subsidiary Mylan dura a portfolio of approximately 160 products in an aggregate of approximately 360 dosage strengths. A tender system has been implemented in Germany and, as a result, health insurers play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major role in this market. Under a tender system, health insurers invite manufacturers to submit bids that establish prices for generic pharmaceuticals. Pricing pressures result from an effort to win the tender. As a result of these tenders, our business in Germany has declined, and future growth in the German marketplace will depend upon our ability to compete based primarily on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U.K., we offer a broad product portfolio of approximately 190 products in an aggregate of approximately 405 dosage strengths. Mylan is ranked fourth in the U.K. generic prescription market, in terms of value, with an estimated market share of approximately 6%. Mylan is well positioned in the U.K. as a preferred supplier to wholesalers and is also focused on areas such as multiple retail pharmacies and hospitals. The U.K. generic prescription market is highly competitive, and any growth in the market will stem from new product launches, although we expect that the value will continue to be affected by price erosion.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EMEA Locations</w:t>
      </w:r>
    </w:p>
    <w:p>
      <w:pPr>
        <w:spacing w:after="0" w:line="22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We also have a notable presence in several other European company-branded generic prescription markets, including Belgium and Portugal, where we hold the third highest market share. We also operate in several other European markets, including the Netherlands, Sweden, Poland, Hungary, Slovakia, Slovenia and the Czech Republic. Additionally, we have an export business which is focused on Africa and the Middle East.</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balanced geographical position, our leadership standing in many established and growing markets and our vertically integrated platform will all be keys to our future growth and success in EMEA.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market generic pharmaceuticals in Asia Pacific through subsidiaries in Australia, Japan, New Zealand, India and Taiwan. Additionally, through Mylan India, we market API to third parties and supply other Mylan subsidiaries. We have the highest market share in both the Australian and New Zealand generic pharmaceuticals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Mylan India manufactures and supplies low cost, high quality API for our own products and pipeline, as well as for third parties. Mylan India is one of the world’s largest API manufacturers as measured by the number of drug master files (“DMFs”) filed with regulatory agencies and is among the leaders in supplying API for the manufacturing of antiretroviral (“ARV”) drugs, which are utilized in the treatment of HIV/AIDS. Mylan India also produces a line of finished dosage form (“FDF”) products in the ARV market, which are sold mostly outside of India. Additionally, Mylan India manufactures non-ARV FDF products that are marketed and sold to third parties by other Mylan operations around the world. Expansion of this portfolio and an increase in product sales within India and other geographies are both key drivers of future growth.</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sale of FDF products, Asia Pacific revenues are augmented by API sales. We currently have more than 250 APIs in the market or under development, and we focus our marketing efforts on regulated markets such as the U.S. and the European Union (the “EU”). We produce API for use in the manufacture of our own pharmaceutical products, as well as for use by third parties, in a wide range of categories, including anti-bacterials, central nervous system agents, anti-histamine/anti-asthmatics, cardiovasculars, anti-virals, anti-diabetics, anti-fungals, proton pump inhibitors and pain management drugs.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Mylan India has nine API and intermediate manufacturing facilities and two FDF facilities. All but one of these facilities are located in India, with one in China. Seven of the API facilities and two FDF facilities located in India are FDA approved, which makes Mylan India one of the largest companies in India in terms of FDA-approved API manufacturing capacity. From an API standpoint, growth is dependent upon us continuing to leverage our research and development capabilities to produce high quality, low cost API, while capitalizing on the greater API volumes afforded through our vertically integrated platform.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In August 2012, our subsidiary Mylan Pharmaceuticals Private Limited commenced commercial operations in India starting with the launch of a comprehensive portfolio of finished dosage form ARV products for the treatment of HIV/AIDS. We expect to enhance our commercial portfolio by adding products from additional therapeutic categories and to continue to build out our sales force across India to support this ongoing business expansion.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generic pharmaceutical market in Australia had sales of approximately $1.4 billion during the twelve months ended August 2012. Through our wholly owned subsidiary Alphapharm, we have the highest market share in the off-patent market with an estimated 24% market share by volume in Australia, and we offer a portfolio of approximately 180 products in an aggregate of approximately 375 dosage strengths. The Australian generics market is still underdeveloped and, as a result, the government is increasingly focused on encouraging the use of generics in an effort to reduce costs. Maintaining our position of market leadership as the market undergoes further generic utilization and penetration and continued pricing pressure will be the key to our future success in Australia.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Mylan Seiyaku Ltd. (”Mylan Seiyaku”), our wholly owned Japanese subsidiary, offers a broad portfolio of more than 360 products in an aggregate of approximately 500 dosage strengths. We also have a manufacturing and packaging facility located in Japan, which is key to serving the Japanese market. Japan is the second largest pharmaceutical market in the world, behind the U.S., and the sixth largest generic prescription market worldwide by value, with sales of approximately $3.3 billion during the twelve months ended November 2012. Currently, the market is largely composed of hospitals and clinics, but pharmacies are expected to play a greater role as generic substitution, aided by recent pro-generics government action, becomes more prevalent. The Japanese government has stated that it intends to grow generic utilization to 30% by the end of March 2013 from approximately 25% at September 30, 2012.</w:t>
      </w:r>
    </w:p>
    <w:p>
      <w:pPr>
        <w:spacing w:after="0" w:line="16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During 2012, we and Pfizer Japan Inc. (“Pfizer Japan”) announced a definitive agreement to establish an exclusive long-term strategic collaboration to develop, manufacture, distribute and market generic drugs in Japan. Under the agreement, both parties will continue to operate separate legal entities in Japan, but will collaborate on current and future generic products, sharing the costs and profits resulting from the collaboration. Mylan Seiyaku’s responsibilities primarily consist of managing operations, including research and development, and manufacturing. Pfizer Japan’s responsibilities under the agreement primarily consist of the commercialization of the combined generics portfolio and managing a combined marketing and sales effort. The collaboration became operational on January 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New Zealand, our business operates under the name Mylan New Zealand and is the largest generics company in the country. New Zealand is a government tender market where companies submit offers and if accepted can gain exclusivity of up to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Segment</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Our specialty pharmaceutical business is conducted through Mylan Specialty, which competes primarily in the respiratory, severe allergy and psychiatry markets. Mylan Specialty’s portfolio consists of primarily branded specialty injectable, nebulized and transdermal products for life-threatening conditions. A significant portion of Mylan Specialty’s revenues are derived through the sale of the EPIPEN® Auto-Injector.</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EPIPEN® Auto-Injector, which is used in the treatment of severe allergic reactions, is an epinephrine auto-injector that has been sold in the U.S. and internationally since the mid-1980s. Mylan Specialty has worldwide rights to the epinephrine auto-injector, which is supplied to Mylan Specialty by a wholly owned subsidiary of Pfizer. Anaphylaxis is a severe allergic reaction that is rapid in onset and may cause death, either through swelling that shuts off airways or through significant drop in blood pressure. In December 2010, the National Institute of Allergy and Infectious Diseases, a division of the National Institutes of Health, introduced the “Guidelines for the Diagnosis and Management of Food Allergy in the United States.” These guidelines state that epinephrine is the first line treatment for anaphylaxis. The EPIPEN® Auto-Injector is the number one prescribed epinephrine auto-injector. The strength of the EPIPEN® brand name, quality and ease of use of the product and the promotional strength of the Mylan Specialty U.S. sales force have enabled us to maintain our market share.</w:t>
      </w:r>
    </w:p>
    <w:p>
      <w:pPr>
        <w:spacing w:after="0" w:line="192" w:lineRule="exact"/>
        <w:rPr>
          <w:sz w:val="20"/>
          <w:szCs w:val="20"/>
          <w:color w:val="auto"/>
        </w:rPr>
      </w:pPr>
    </w:p>
    <w:p>
      <w:pPr>
        <w:ind w:right="20" w:firstLine="648"/>
        <w:spacing w:after="0" w:line="186" w:lineRule="auto"/>
        <w:rPr>
          <w:sz w:val="20"/>
          <w:szCs w:val="20"/>
          <w:color w:val="auto"/>
        </w:rPr>
      </w:pPr>
      <w:r>
        <w:rPr>
          <w:rFonts w:ascii="Arial" w:cs="Arial" w:eastAsia="Arial" w:hAnsi="Arial"/>
          <w:sz w:val="18"/>
          <w:szCs w:val="18"/>
          <w:color w:val="auto"/>
        </w:rPr>
        <w:t>Perforomist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Inhalation Solution, Mylan Specialty’s formoterol fumarate inhalation solution, was launched in October 2007. Perforomist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Inhalation Solution is a long-acting beta</w:t>
      </w:r>
      <w:r>
        <w:rPr>
          <w:rFonts w:ascii="Arial" w:cs="Arial" w:eastAsia="Arial" w:hAnsi="Arial"/>
          <w:sz w:val="14"/>
          <w:szCs w:val="14"/>
          <w:color w:val="auto"/>
        </w:rPr>
        <w:t>2</w:t>
      </w:r>
      <w:r>
        <w:rPr>
          <w:rFonts w:ascii="Arial" w:cs="Arial" w:eastAsia="Arial" w:hAnsi="Arial"/>
          <w:sz w:val="18"/>
          <w:szCs w:val="18"/>
          <w:color w:val="auto"/>
        </w:rPr>
        <w:t>-adrenergic agonist indicated for long-term, twice-daily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administration in the maintenance treatment of bronchoconstriction in chronic obstructive pulmonary disorder (“COPD”) patients, including those with chronic bronchitis and emphysema. Mylan Specialty has been issued several U.S. and international patents protecting Perforomist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Inhalation Solution.</w:t>
      </w:r>
    </w:p>
    <w:p>
      <w:pPr>
        <w:spacing w:after="0" w:line="2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we can continue to drive the long-term growth of our Specialty Segment by successfully managing our existing product portfolio and bringing to market other product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Generics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Prescription pharmaceutical products in the U.S. are generally marketed as either brand or generic drugs. Brand products are marketed under brand names through marketing programs that are designed to generate physician and consumer loyalty. Brand products generally are patent protected, which provides a period of market exclusivity during which time they are sold with little or no competition for the compound, although there typically are other participants in the therapeutic area. Additionally, brand products may benefit from other periods of non-patent market exclusivity. Exclusivity normally provides brand products with the ability to maintain their profitability for relatively long periods of time, and brand products typically continue to play a significant role in the market due to physician and consumer loyalties after the end of patent protection or other market exclusivities.</w:t>
      </w:r>
    </w:p>
    <w:p>
      <w:pPr>
        <w:spacing w:after="0" w:line="165" w:lineRule="exact"/>
        <w:rPr>
          <w:sz w:val="20"/>
          <w:szCs w:val="20"/>
          <w:color w:val="auto"/>
        </w:rPr>
      </w:pPr>
    </w:p>
    <w:p>
      <w:pPr>
        <w:jc w:val="both"/>
        <w:ind w:right="40" w:firstLine="648"/>
        <w:spacing w:after="0" w:line="285" w:lineRule="auto"/>
        <w:rPr>
          <w:sz w:val="20"/>
          <w:szCs w:val="20"/>
          <w:color w:val="auto"/>
        </w:rPr>
      </w:pPr>
      <w:r>
        <w:rPr>
          <w:rFonts w:ascii="Arial" w:cs="Arial" w:eastAsia="Arial" w:hAnsi="Arial"/>
          <w:sz w:val="16"/>
          <w:szCs w:val="16"/>
          <w:color w:val="auto"/>
        </w:rPr>
        <w:t>Generic pharmaceutical products are the chemical and therapeutic equivalents of reference brand drugs. A reference brand drug is an approved drug product listed in the FDA publication entitled Approved Drug Products with Therapeutic Equivalence Evaluations, popularly known as the “Orange Book.” The Drug Price Competition and Patent Term Restoration Act of 1984 (the “Hatch-Waxman Act”) provides that generic drugs may enter the market after the approval of an ANDA, which requires that bioequivalence to a reference brand product be demonstrated, and the expiration, invalidation or non-infringement of any patents on the corresponding reference brand drug, or the end of any other relevant market exclusivity periods related to the reference brand drug.</w:t>
      </w:r>
    </w:p>
    <w:p>
      <w:pPr>
        <w:spacing w:after="0" w:line="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Generic drugs are bioequivalent to their reference brand name counterparts. Accordingly, generic products provide a safe, effective and cost-efficient alternative to users of these reference brand products. Branded generic pharmaceutical products are generic products that are more responsive to the promotion efforts generally used to promote brand products. Growth in the generic pharmaceutical industry has been and will continue to be driven by the increased market acceptance of generic drugs, as well as the number of brand drugs for which patent terms and/or other market exclusivities have expired.</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obtain new generic products primarily through internal product development. Additionally, we license or co-develop products through arrangements with other companies. All applications for FDA approval must contain information relating to product formulation, raw material suppliers, stability, manufacturing processes, packaging, labeling and quality control. Information to support the bioequivalence of generic drug products or the safety and effectiveness of new drug products for their intended use is also required to be submitted. There are generally two types of applications used for obtaining FDA approval of new products:</w:t>
      </w:r>
    </w:p>
    <w:p>
      <w:pPr>
        <w:spacing w:after="0" w:line="188" w:lineRule="exact"/>
        <w:rPr>
          <w:sz w:val="20"/>
          <w:szCs w:val="20"/>
          <w:color w:val="auto"/>
        </w:rPr>
      </w:pPr>
    </w:p>
    <w:p>
      <w:pPr>
        <w:ind w:left="820" w:right="560"/>
        <w:spacing w:after="0" w:line="277" w:lineRule="auto"/>
        <w:rPr>
          <w:sz w:val="20"/>
          <w:szCs w:val="20"/>
          <w:color w:val="auto"/>
        </w:rPr>
      </w:pPr>
      <w:r>
        <w:rPr>
          <w:rFonts w:ascii="Arial" w:cs="Arial" w:eastAsia="Arial" w:hAnsi="Arial"/>
          <w:sz w:val="18"/>
          <w:szCs w:val="18"/>
          <w:i w:val="1"/>
          <w:iCs w:val="1"/>
          <w:color w:val="auto"/>
        </w:rPr>
        <w:t xml:space="preserve">New Drug Application (“NDA”) </w:t>
      </w:r>
      <w:r>
        <w:rPr>
          <w:rFonts w:ascii="Arial" w:cs="Arial" w:eastAsia="Arial" w:hAnsi="Arial"/>
          <w:sz w:val="18"/>
          <w:szCs w:val="18"/>
          <w:color w:val="auto"/>
        </w:rPr>
        <w:t>— An NDA is filed when approval is sought to market a newly developed branded product and,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instances, for a new dosage form, a new delivery system or a new indication for a previously approved drug.</w:t>
      </w:r>
    </w:p>
    <w:p>
      <w:pPr>
        <w:spacing w:after="0" w:line="170" w:lineRule="exact"/>
        <w:rPr>
          <w:sz w:val="20"/>
          <w:szCs w:val="20"/>
          <w:color w:val="auto"/>
        </w:rPr>
      </w:pPr>
    </w:p>
    <w:p>
      <w:pPr>
        <w:ind w:left="820" w:right="300"/>
        <w:spacing w:after="0" w:line="342" w:lineRule="auto"/>
        <w:rPr>
          <w:sz w:val="20"/>
          <w:szCs w:val="20"/>
          <w:color w:val="auto"/>
        </w:rPr>
      </w:pPr>
      <w:r>
        <w:rPr>
          <w:rFonts w:ascii="Arial" w:cs="Arial" w:eastAsia="Arial" w:hAnsi="Arial"/>
          <w:sz w:val="16"/>
          <w:szCs w:val="16"/>
          <w:i w:val="1"/>
          <w:iCs w:val="1"/>
          <w:color w:val="auto"/>
        </w:rPr>
        <w:t xml:space="preserve">ANDA — </w:t>
      </w:r>
      <w:r>
        <w:rPr>
          <w:rFonts w:ascii="Arial" w:cs="Arial" w:eastAsia="Arial" w:hAnsi="Arial"/>
          <w:sz w:val="16"/>
          <w:szCs w:val="16"/>
          <w:color w:val="auto"/>
        </w:rPr>
        <w:t>An ANDA is filed when approval is sought to market a generic equivalent of a drug product previously approved under an NDA and</w:t>
      </w:r>
      <w:r>
        <w:rPr>
          <w:rFonts w:ascii="Arial" w:cs="Arial" w:eastAsia="Arial" w:hAnsi="Arial"/>
          <w:sz w:val="16"/>
          <w:szCs w:val="16"/>
          <w:i w:val="1"/>
          <w:iCs w:val="1"/>
          <w:color w:val="auto"/>
        </w:rPr>
        <w:t xml:space="preserve"> </w:t>
      </w:r>
      <w:r>
        <w:rPr>
          <w:rFonts w:ascii="Arial" w:cs="Arial" w:eastAsia="Arial" w:hAnsi="Arial"/>
          <w:sz w:val="16"/>
          <w:szCs w:val="16"/>
          <w:color w:val="auto"/>
        </w:rPr>
        <w:t>listed in the FDA’s Orange Book or for a new dosage strength or a new delivery system for a drug previously approved under an ANDA.</w:t>
      </w:r>
    </w:p>
    <w:p>
      <w:pPr>
        <w:spacing w:after="0" w:line="12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ANDA development process is generally less time-consuming and complex than the NDA development process. It typically does not require new preclinical and clinical studies, because it relies on the studies establishing safety and efficacy conducted for the referenced drug previously approved through the NDA process. The ANDA process, however, does typically require one or more bioequivalence studies to show that the ANDA drug is bioequivalent to the previously approved referenced brand drug. Bioequivalence studies compare the bioavailability of the proposed drug product with that of the referenced drug product containing the same active ingredient. Bioavailability is a measure of the rate and extent to which the active ingredient or active moiety is absorbed from a drug product and becomes available at the site of action. Thus, a demonstration of bioequivalence confirms the absence of a significant difference between the proposed product and the referenced brand drug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terms of the rate and extent to which the active ingredient or active moiety becomes available at the site of drug action when administered at the same molar dose under similar conditions.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Generic products are generally introduced to the marketplace at the expiration of patent protection for the brand product or at the end of a period of non-patent market exclusivity. However, if an ANDA applicant files an ANDA containing a certification of invalidity, non-infringement or unenforceability related to a patent listed in the Orange Book with respect to a reference drug product, the applicant may be able to market the generic equivalent prior to the expiration of patent protection for the brand product. Such patent certification is commonly referred to as a Paragraph IV certification. If the holder of the NDA sues, claiming infringement or invalidation, within 45 days of notification by the applicant, the FDA may not approve the ANDA application until the earlier of the rendering of a court decision favorable to the ANDA applicant or the expiration of 30 months. An ANDA applicant that is first to file a Paragraph IV certification is eligible for a period of generic marketing exclusivity. This exclusivity, which under certain circumstances may be required to be shared with other applicable ANDA sponsors with Paragraph IV certifications, lasts for 180 days, during which the FDA cannot grant final approval to other ANDA sponsors holding applications for a generic equivalent to the same reference drug.</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patent exclusivity, the holder of the NDA for the listed drug may be entitled to a period of non-patent market exclusivity, during which the FDA cannot approve an application for a generic version product. If the reference drug is a new chemical entity, the FDA may not accept an ANDA for a generic product for up to five years following approval of the NDA for the new chemical entity. If it is not a new chemical entity, but the holder of the NDA conducted clinical trials essential to approval of the NDA or a supplement thereto, the FDA may not approve an ANDA for reference NDA product before the expiration of three years. Certain other periods of exclusivity may be available if the referenced drug is indicated for treatment of a rare disease or the sponsor conducts pediatric studies in accordance with FDA requirements.</w:t>
      </w:r>
    </w:p>
    <w:p>
      <w:pPr>
        <w:spacing w:after="0" w:line="19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Supplemental ANDAs are required for approval of various types of changes to an approved application, and these supplements may be under review for six months or more. In addition, certain types of changes may only be approved once new bioequivalence studies are conducted or other requirements are satisfied.</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 number of branded pharmaceutical patent expirations are expected over the next several years. These patent expirations should provide additional generic product opportunities. We intend to concentrate our generic product development activities on branded products with significant sales in specialized or growing markets or in areas that offer significant opportunities and other competitive advantages. In addition, we intend to continue to focus our development efforts on technically difficult-to-formulate products or products that require advanced manufacturing technology.</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Biologic License Application (“BLA”) regulatory pathway was created to review and approve new applications for drugs that are typically produced in living cells. In 2010, in the context of the adoption of the Patient Protection and Affordable Care Act — H.R. 3590 and the Healthcare and Education Reconciliation Act of 2010 — H.R. 4872, an abbreviated pathway for the approval of generic versions of BLA-approved products (“biosimilars”) in the U.S. was created. This happened after legislation or regulatory guidance for abbreviated pathways for generic biologics were adopted in the past years in the EU, Japan and Canada. The FDA is working to implement these provisions, and Mylan is a very active participant in this process.</w:t>
      </w:r>
    </w:p>
    <w:p>
      <w:pPr>
        <w:spacing w:after="0" w:line="15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An additional requirement for FDA approval of NDAs and ANDAs is that our manufacturing procedures and operations conform to FDA requirements and guidelines, generally referred to as current Good Manufacturing Practices (“cGMP”). The requirements for FDA approval encompass all aspects of the production process, including validation and recordkeeping, the standards around which are continuously changing and evolving.</w:t>
      </w:r>
    </w:p>
    <w:p>
      <w:pPr>
        <w:spacing w:after="0" w:line="14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Facilities, procedures, operations and/or testing of products are subject to periodic inspection by the FDA, the Drug Enforcement Administration (“DEA”) and other authorities. In addition, the FDA conducts pre-approval and post-approval reviews and plant inspections to determine whether our systems and processes are in compliance with cGMP and other FDA regulations. Our suppliers are subject to similar regulations and periodic inspections.</w:t>
      </w:r>
    </w:p>
    <w:p>
      <w:pPr>
        <w:spacing w:after="0" w:line="147"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In 2012, the President signed the Food and Drug Administration Safety and Innovation Act (“FDASIA”), landmark legislation intended to enhance the safety and security of the U.S. drug supply chain by holding all drug manufacturers suppling products to the U.S. to the same FDA inspection standards. Specifically, prior to the passage of FDASIA, U.S. law required U.S. based manufacturers to be inspected by FDA every two years but remained silent with respect to foreign manufacturers, causing some foreign manufacturers to go as many as nine years without a routine FDA cGMP inspection, according to the Government Accountability Office.</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FDASIA also includes the Generic Drug User Fee Agreement (“GDUFA”), a novel user fee program to provide FDA with approximately $1.5 billion in total user fees through 2018 focused on three key aims: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40"/>
        <w:spacing w:after="0" w:line="277" w:lineRule="auto"/>
        <w:rPr>
          <w:sz w:val="20"/>
          <w:szCs w:val="20"/>
          <w:color w:val="auto"/>
        </w:rPr>
      </w:pPr>
      <w:r>
        <w:rPr>
          <w:rFonts w:ascii="Arial" w:cs="Arial" w:eastAsia="Arial" w:hAnsi="Arial"/>
          <w:sz w:val="18"/>
          <w:szCs w:val="18"/>
          <w:i w:val="1"/>
          <w:iCs w:val="1"/>
          <w:color w:val="auto"/>
        </w:rPr>
        <w:t xml:space="preserve">Safety – </w:t>
      </w:r>
      <w:r>
        <w:rPr>
          <w:rFonts w:ascii="Arial" w:cs="Arial" w:eastAsia="Arial" w:hAnsi="Arial"/>
          <w:sz w:val="18"/>
          <w:szCs w:val="18"/>
          <w:color w:val="auto"/>
        </w:rPr>
        <w:t>Ensure that industry participants, foreign or domestic, are held to consistent quality standards and are inspected with foreign and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parity using a risk-based approach.</w:t>
      </w:r>
    </w:p>
    <w:p>
      <w:pPr>
        <w:spacing w:after="0" w:line="170"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i w:val="1"/>
          <w:iCs w:val="1"/>
          <w:color w:val="auto"/>
        </w:rPr>
        <w:t xml:space="preserve">Access – </w:t>
      </w:r>
      <w:r>
        <w:rPr>
          <w:rFonts w:ascii="Arial" w:cs="Arial" w:eastAsia="Arial" w:hAnsi="Arial"/>
          <w:sz w:val="18"/>
          <w:szCs w:val="18"/>
          <w:color w:val="auto"/>
        </w:rPr>
        <w:t>Expedite the availability of generic drugs by bringing greater predictability to the review times for abbreviated new drug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and supplements and improving timeliness in the review process.</w:t>
      </w:r>
    </w:p>
    <w:p>
      <w:pPr>
        <w:spacing w:after="0" w:line="170" w:lineRule="exact"/>
        <w:rPr>
          <w:sz w:val="20"/>
          <w:szCs w:val="20"/>
          <w:color w:val="auto"/>
        </w:rPr>
      </w:pPr>
    </w:p>
    <w:p>
      <w:pPr>
        <w:ind w:left="820" w:right="240"/>
        <w:spacing w:after="0" w:line="342" w:lineRule="auto"/>
        <w:rPr>
          <w:sz w:val="20"/>
          <w:szCs w:val="20"/>
          <w:color w:val="auto"/>
        </w:rPr>
      </w:pPr>
      <w:r>
        <w:rPr>
          <w:rFonts w:ascii="Arial" w:cs="Arial" w:eastAsia="Arial" w:hAnsi="Arial"/>
          <w:sz w:val="16"/>
          <w:szCs w:val="16"/>
          <w:i w:val="1"/>
          <w:iCs w:val="1"/>
          <w:color w:val="auto"/>
        </w:rPr>
        <w:t xml:space="preserve">Transparency - </w:t>
      </w:r>
      <w:r>
        <w:rPr>
          <w:rFonts w:ascii="Arial" w:cs="Arial" w:eastAsia="Arial" w:hAnsi="Arial"/>
          <w:sz w:val="16"/>
          <w:szCs w:val="16"/>
          <w:color w:val="auto"/>
        </w:rPr>
        <w:t>Enhance FDA’s visibility into the complex global supply environment by requiring the identification of facilities involved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of drugs and associated active pharmaceutical ingredients, and improve FDA’s communications and feedback with industry.</w:t>
      </w:r>
    </w:p>
    <w:p>
      <w:pPr>
        <w:spacing w:after="0" w:line="124"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Under GDUFA, 70% of the total fees will be derived from facility fees paid by finished dosage form manufacturers and active pharmaceutical ingredient facilities listed or referenced in a pending or approved generic drug applications. The remaining 30% of the total fees will be derived from application fees, including generic drug application fees, prior approval supplement fees and drug master file fees.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Canada, the registration process for approval of all generic pharmaceuticals has two tracks that proceed in parallel. The first track of the process involves an examination of the proposed generic product by Health Canada to ensure that the quality, safety and efficacy of the proposed generic product meet Canadian standards and bioequivalence, and the second track concerns patent rights of the brand drug owner. Companies may submit an application called an abbreviated new drug submission (“ANDS”) to Health Canada for sale of the drug in Canada by comparing the drug to another drug marketed in Canada under a Notice of Compliance (“NOC”) issued to a first person. When Health Canada is satisfied that the generic pharmaceutical product described in the ANDS satisfies the statutory requirements, it issues an NOC for that product for the uses specified in the ANDS, subject to any court order that may be made in the second track of the approval process.</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second track of the approval process is governed by the Patented Medicines NOC Regulations (“Regulations”). The owner or exclusive licensee of patents relating to the brand drug for which it has an NOC may have established a list of patents administered by Health Canada enumerating all the patents claiming the medicinal ingredient, formulation, dosage form or the use of the medicinal ingredient. It is possible that even though the patent for the API may have expired, the originator may have other patents on the list which relate to new forms of the API, a formulation or additional uses. Most brand name drugs have an associated patent list containing one or more unexpired patents claiming the medicinal ingredient itself or a use of the medicinal ingredient (a claim for the use of the medicinal ingredient for the diagnosis, treatment, mitigation or prevention of a disease, disorder or abnormal physical state or its symptoms). In its ANDS, a generic applicant must make at least one of the statutory allegations with respect to each patent on the patent list, for example, alleging that the patent is invalid or would not be infringed and explaining the basis for that allegation. In conjunction with filing its ANDS, the generic applicant is required to serve on the originator a Notice of Allegation (“NOA”), which gives a detailed statement of the factual and legal basis for its allegations in the ANDS. The originator may commence a court application within 45 days after it has been served with the NOA, if it takes the position that the allegations are not justified. When the application is filed in court and served on Health Canada, Health Canada may not issue an NOC until the earlier of the determination of the application by the court after a hearing or the expiration of 24 months from the commencement of the application. The period may be shortened or lengthened by the court in certain circumstances. An NOC can be obtained for a generic product only if the generic respondent is successful in dismissing the application under the Regulations in court. The legal costs incurred in connection with the application could be substantial.</w:t>
      </w:r>
    </w:p>
    <w:p>
      <w:pPr>
        <w:spacing w:after="0" w:line="17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Section C.08.004.1 of the Food and Drug Regulations is the so-called data protection provision, and the current version of this section applies in respect of all drugs for which an NOC was issued on or after June 17, 2006. A subsequent applicant for approval to market a drug for which an NOC has already been issued does not need to perform duplicate clinical trials similar to those conducted by the first NOC holder, but is permitted to demonstrate safety and efficacy by submitting data demonstrating that its formulation is bioequivalent to the formulation that was issued for the first NOC. The first party to obtain an NOC for a drug will have an eight-year period of exclusivity starting from the date it received its NOC based on those clinical data. A subsequent applicant for approval who seeks to establish safety and efficacy by comparing its product to the product that received the first NOC will not be able to file its own application until six years following the issuance of the first NOC have expired. The Minister of Health will not be permitted to issue an NOC to that applicant until eight years following the issuance of the first NOC have expired — this additional two-year period will correspond in most cases to the 24-month automatic stay under the Regulations. If the first person provides the Minister with the description and results of clinical trials relating to the use of the drug in pediatric populations, it will be entitled to an extra six months of data protection. A drug is only entitled to data protection so long as it is being marketed in Canada.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Facilities, procedures, operations and/or testing of products are subject to periodic inspection by Health Canada and the Health Products and Food Branch Inspectorate. In addition, Health Canada conducts pre-approval and post-approval reviews and plant inspections to determine whether our systems are in compliance with the good manufacturing practices in Canada, Drug Establishment Licensing (“EL”) requirements and other provisions of the Regulations. Competitors are subject to similar regulations and inspections.</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provinces and territories in Canada operate drug benefit programs through which eligible recipients receive drugs through public funding; these drugs are listed on provincial or territorial Drug Benefit Formularies (“Formularies”). Eligible recipients include seniors, persons on social assistance, low-income earners, and those with certain specified conditions or diseases. Formulary listings are also used by private payors to reimburse generic products. To be listed in a Formulary, drug products must have been issued an NOC and must comply with each jurisdiction’s individual review process.</w:t>
      </w:r>
    </w:p>
    <w:p>
      <w:pPr>
        <w:spacing w:after="0" w:line="15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primary regulatory approval for pharmaceutical manufacturers, distributors and importers selling pharmaceuticals to be marketed in Canada is the issuance of an EL. An EL is issued once Health Canada has approved the facility in which the pharmaceuticals are manufactured, distributed or imported. A key requirement for approval of a facility is compliance with the good manufacturing practices in Canada. For pharmaceuticals that are imported, the license for the importing facility must list all foreign sites at which imported pharmaceuticals are manufactured. To be listed, a foreign site must demonstrate compliance with the good manufacturing practices in Canada.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EU presents complex challenges from a regulatory perspective. There is over-arching legislation which is then implemented at a local level by the 27 individual member states, Iceland, Liechtenstein and Norway. Between 1995 and 1998, the legislation was revised in an attempt to simplify and harmonize product registration. This revised legislation introduced the mutual recognition (“MR”) procedure, whereby after submission and approval by the authorities of the so-called reference member state (“RMS”), further applications can be submitted into the other chosen member states (known as concerned member states (“CMS”)). Theoretically, the authorization of the RMS should be mutually recognized by the CMS. More typically, however, a degree of re-evaluation is carried out by the CMS. In November 2005, this legislation was further optimized. In addition to the MR procedure, the decentralized procedure (“DCP”) was introduced. The DCP is also led by the RMS, but applications are simultaneously submitted to all selected countries, provided that no national marketing authorization has been granted yet for the medicinal product in question. From 2005, the centralized procedure operated by the European Medicines Agency (“EMA”) became available for generic versions of innovator products approved through the centralized authorization procedure. The centralized procedure results in a single marketing authorization, which, once granted, can be used by the marketing-authorization holder to file for individual country reimbursement and make the medicine available in all EU countries listed on the application.</w:t>
      </w:r>
    </w:p>
    <w:p>
      <w:pPr>
        <w:spacing w:after="0" w:line="17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the EU, as well as many other locations around the world, the manufacture and sale of pharmaceutical products is regulated in a manner substantially similar to that of the U.S. requirements, which generally prohibit the handling, manufacture, marketing and importation of any pharmaceutical product unless it is properly registered in accordance with applicable law. The registration file relating to any particular product must contain medical data related to product efficacy and safety, including results of clinical testing and references to medical publications, as well as detailed information regarding production methods and quality control. Health ministries are authorized to cancel the registration of a product if it is found to be harmful or ineffective or if it is manufactured or marketed other than in accordance with registration conditions.</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Pursuant to the MR procedure, a marketing authorization is first sought in one member state from the national regulatory agency (the RMS). The RMS makes its assessment report on the quality, efficacy and safety of the medicinal product available to the other CMSs where marketing authorizations are also sought under the MR procedure.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DCP is based on the same fundamental idea as the MR procedure. In contrast to the MR procedure, however, the DCP requires that no national marketing authorization has yet been granted for the medicinal product. The pharmaceutical company applies for marketing authorization simultaneously in all the member states of the EU in which it wants to market the product. After consultation with the pharmaceutical company, one of the member states concerned in the DCP will become the RMS. The competent agency of the RMS undertakes the scientific evaluation of the medicinal product on behalf of the other CMSs and coordinates the procedure. If all the member states involved (RMS and CMS) agree to grant marketing authorizations, this decision forms the basis for the granting of the national marketing authorizations in the respective member states.</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Neither the MR nor DCPs result in automatic approval in all member states. If any member state has objections, particularly in relation to potential serious risk to public health, which cannot be resolved within the procedure scope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timelines, they will be referred to the coordination group for MR and DCPs and reviewed in a 60-day procedure. If this 60-day procedure does not result in a consensus by all member states, the product can be marketed in the countries whose health authorities agree that the product can be licensed. The issue raised will then enter a second referral procedure.</w:t>
      </w:r>
    </w:p>
    <w:p>
      <w:pPr>
        <w:spacing w:after="0" w:line="181"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As with the MR procedure, the advantage of the DCP is that the pharmaceutical company receives identical marketing authorizations for its medicinal product in all the member states of the EU in which it wants to market the product. This leads to considerable streamlining of all regulatory activities in regard to the product. Variations, line extensions, renewals, etc. are also handled in a coordinated manner with the RMS leading the activity.</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Once a DCP has been completed, the pharmaceutical company can subsequently apply for marketing authorizations for the medicinal product in additional EU member states by means of the MR procedure.</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All products, whether centrally authorized or authorized by the MR or DCP, may only be sold in other member states if the product information is in the official language of the state in which the product will be sold, which effectively requires specific packaging and labeling of the product.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national procedure, a company applies for a marketing authorization in one member state. The national procedure can now only be used if the pharmaceutical company does not seek authorization in more than one member state. If it does seek wider marketing authorizations, it must use the MR or DCP.</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Before a generic pharmaceutical product can be marketed in the EU, a marketing authorization must be obtained. If a generic pharmaceutical product is shown to be essentially the same as, or bioequivalent to, one that is already on the market and which has been authorized in the EU for a specified number of years, as explained in the section on data exclusivity below, no further preclinical or clinical trials are required for that new generic pharmaceutical product to be authorized. The generic applicant can file an abridged application for marketing authorization, but in order to take advantage of the abridged procedure, the generic manufacturer must demonstrate specific similarities, including bioequivalence, to the already authorized product. Access to clinical data of the reference drug is governed by the European laws relating to data exclusivity, which are outlined below. Other products, such as new dosages of established products, must be subjected to further testing, and “bridging data” in respect of these further tests must be submitted along with the abridged application.</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An applicant for a generic marketing authorization currently cannot avail itself of the abridged procedure in the EU by relying on the originator pharmaceutical company’s data until expiry of the relevant period of exclusivity given to that data. For products first authorized prior to October 30, 2005, this period is six or ten years (depending on the member state in question and/or the regulatory procedure used by the originator) after the grant of the first marketing authorization sought for the relevant product, due to data exclusivity provisions which have been in place. From October 30, 2005, the implementation of a new EU directive (2004/27/EC) harmonized the data exclusivity period for originator pharmaceutical products throughout the EU member states, which were legally obliged to have implemented the directive by October 30, 2005. The new regime for data exclusivity provides for an eight-year data exclusivity period commencing from the grant of first marketing authorization. After the eight-year period has expired, a generic applicant can refer to the data of the originator pharmaceutical company in order to file an abridged application for approval of its generic equivalent product. Yet, conducting the necessary studies and trials for an abridged application, within the data exclusivity period, is not regarded as contrary to patent rights or to supplementary protection certificates for medicinal products. However, the applicant will not be able to launch its product for an additional two years. This ten-year total period may be extended to 11 years if the original marketing authorization holder obtains, within those initial eight years, a further authorization for a new therapeutic use of the product which is shown to be of significant clinical benefit. Further, specific data exclusivity for one year may be obtained for a new indication for a well-established substance, provided that significant preclinical or clinical studies were carried out in relation to the new indication. This new regime for data exclusivity applies to products first authorized after October 30, 2005.</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to obtaining approval for each product, in most EU countries the pharmaceutical product manufacturer’s facilities must obtain approval from the national supervisory authority. The EU has a code of good manufacturing practice, with which the marketing authorization holder must comply. Regulatory authorities in the EU may conduct inspections of the manufacturing facilities to review procedures, operating systems and personnel qualifications.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order to control expenditures on pharmaceuticals, most member states in the EU regulate the pricing and reimbursement of products and in some cases limit the range of different forms of drugs available for prescription by national health services. These controls can result in considerable price differences between member states. In addition, in past years, as part of overall programs to reduce health care costs, certain European governments have prohibited price increases and have introduced various systems designed to lower prices. Some European governments have also set minimum targets for generics prescribing.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Certain markets in which Mylan does business have recently undergone, some for the first time, or will soon undergo, government-imposed price reductions or similar pricing pressures on pharmaceutical products. In addition, a number of markets in which we operate have implemented or may implement tender, or tender-like, systems for generic pharmaceuticals in an effort to lower prices. Such measures are likely to have a negative impact on sales and gross profit in these markets. However, some pro-generic government initiatives in certain markets could help to offset some of this unfavorable effect by potentially increasing generic utilization.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pharmaceutical industry is one of the most highly regulated industries in Australia. The Australian government is heavily involved in the operation of the industry, through the registration of medicines and licensing of manufacturing facilities, as well as subsidizing patient cost of most prescription medicines sold in Australia. The Australian government authority, the Therapeutic Goods Administration (the “TGA”), regulates the quality, safety and efficacy of therapeutic goods and is responsible for granting authorization to market pharmaceutical products in Australia and for inspecting and approving manufacturing facilities.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TGA operates according to the Commonwealth of Australia’s Therapeutic Goods Act 1989 (Cth) (the “Act”). Specifically the Act regulates the registration, listing, quality, safety, efficacy, promotion and sale of therapeutic goods, including pharmaceuticals, supplied in Australia. The TGA carries out a range of assessment and monitoring activities to ensure that therapeutic goods available in Australia are of an acceptable standard with a goal of ensuring that the Australian community has access within a reasonable time to therapeutic advances. Australian manufacturers of all medicines must be licensed under Part 3-3 of the Act and their manufacturing processes must comply with the principles of the good manufacturing practices in Australia. Similar standards and audits apply for both domestic and foreign manufactured products.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Generic medicines are subject to an abbreviated review process by the TGA, if the product can demonstrate essential similarity to the originator brand. Essential similarity means the same active ingredient in the same dose form, delivering the active ingredient to the patient at the same rate and extent, compared to the original brand. If proven, safety and efficacy is assumed to be the same.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All therapeutic goods manufactured for supply in Australia must be listed or registered in the Australian Register of Therapeutic Goods (the “ARTG”), before they can be promoted or supplied for use and/or sale in Australia. The ARTG is a database kept for the purpose of compiling information in relation to therapeutic goods for use in humans and lists therapeutic goods which are approved for supply in, or export from, Australia.</w:t>
      </w:r>
    </w:p>
    <w:p>
      <w:pPr>
        <w:spacing w:after="0" w:line="16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Medicines assessed as having a higher level of risk must be registered, while those with a lower level of risk can be listed. The majority of listed medicines are self-selected by consumers and used for self-treatment. In assessing the level of risk, factors such as the strength of a product, side effects, potential harm through prolonged use, toxicity and the seriousness of the medical condition for which the product is intended to be used are taken into account.</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Labeling, packaging and advertising of pharmaceutical products are also regulated by the Act and other relevant statutes including fair trading laws and pharmaceutical industry codes.</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Australia has a five-year data exclusivity period, whereby any data relating to a pharmaceutical product cannot be referred to or used in the examination by the TGA of another company's dossier, until five years after the original product was approved.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Pharmaceutical Benefits Scheme (“PBS”), which has been in place since 1948, subsidizes the cost to consumers of medicines listed on the PBS, if the medicines have demonstrated acceptable clinical need, cost and effectiveness. The goal of the PBS is to make medicines available at the lowest cost compatible with reliable supply and to base access on medical need rather than ability to pay.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government exerts a significant degree of control over the pharmaceuticals market through the PBS. More than 80% of all prescription medicine sold in Australia is reimbursed by the PBS. The PBS is operated under the Commonwealth of Australia's National Health Act 1953. This statute governs matters such as who may sell pharmaceutical products, the prices at which pharmaceutical products may be sold to consumers and the prices government pays manufacturers, wholesalers and pharmacists for subsidized medicines.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If a new medicine is to be considered for listing on the PBS, the price is determined through a full health economic analysis submitted to the government's advisory committee, the Pharmaceutical Benefits Advisory Committee (PBAC), based on incremental benefit to health outcome. If the incremental benefit justifies the price requested, the PBAC then makes a recommendation to the government to consider listing the product on the PBS. Prior to finalizing listing conditions, negotiations commence between the government Pharmaceutical Benefits Pricing Authority and pharmaceutical suppliers to determine specific pricing details and any risk sharing arrangements necessary to ensure the continued cost effective utilization of the new medicine. The Australian government's purchasing power is used to obtain lower prices as a means of controlling the cost of the program. The PBS also stipulates the wholesaler margin for drugs listed on the PBS. Wholesalers therefore have little pricing power over the majority of their product range and as a result are unable to increase profitability by increasing prices.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Additional brands of existing PBS listed medicines (generic medicines) are listed upon patent expiry at a price 16% lower than the existing price paid for the original, and with a brand equivalence indicator permitting substitution at pharmacy level. Generic medicines introduce price competition through trading terms offered to pharmacy to encourage brand substitution.</w:t>
      </w:r>
    </w:p>
    <w:p>
      <w:pPr>
        <w:spacing w:after="0" w:line="181"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Most importantly for the generic medicines sector, commencing in 2008, the government has introduced PBS reforms designed to significantly reduce the price the government pays for off patent medicines, by taking more immediate advantage of price competition at pharmacy level. In 2010, the government again amended the legislation to further expand and accelerate the PBS price reductions in the off patent market. This reform built on the price reductions on off patent medicines impacted by the 2008 reform, increased the percentage price reduction on the launch of the first generic and mandated a minimum overall price cut on April 1, 2012 for many other off patent medicines not previously covered by the 2008 reform. The ongoing price disclosure system will impose further price reductions based on the weighted average price discount to pharmacists on a rolling basis each year. This has had, and will continue to have for several years beyond 2013, a negative impact on sales and gross profit in this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Japan, we are governed by various laws and regulations, including the Pharmaceutical Affairs Law (Law No. 145, 1960), as amended, and the Products Liability Law (Law No. 85, 1994).</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Pharmaceutical Affairs Law, the retailing or supply of a pharmaceutical that a person has manufactured (including manufacturing under license) or imported is defined as “marketing,” and in order to market pharmaceuticals, one has to obtain a license, which we refer to herein as a Marketing License, from the Minister of Health, Labour and Welfare (the “MHLW”). The authority to grant the Marketing License is delegated to prefectural governors; therefore, the relevant application must be filed with the relevant prefectural governor. A Marketing License will not be granted if the quality control system for the pharmaceutical for which the Marketing License has been applied or the post-marketing safety management system for the relevant pharmaceutical does not comply with the standards specified by the relevant Ministerial Ordinance made under the Pharmaceutical Affairs Law.</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to the Marketing License, a person intending to market a pharmaceutical must, for each product, obtain marketing approval from the MHLW with respect to such marketing, which we refer to herein as Marketing Approval. Marketing Approval is granted subject to examination of the name, ingredients, quantities, structure, administration and dosage, method of use, indications and effects, performance and adverse reactions, and the quality, efficacy and safety of the pharmaceutical. A person intending to obtain Marketing Approval must attach materials, such as data related to the results of clinical trials (including a bioequivalence study, in the case of generic pharmaceuticals) or conditions of usage in foreign countries. Japan provides for market exclusivity through a re- examination system, which prevents the entry of generic pharmaceuticals until the end of the re-examination period, which can be up to eight years, and ten years in the case of drugs used to treat rare diseases (“orphan drugs”).</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authority to grant Marketing Approval in relation to pharmaceuticals for certain specified purposes (e.g., cold medicines and decongestants) is delegated to the prefectural governors by the MHLW, and applications in relation to such pharmaceuticals must be filed with the governor of the relevant prefecture where the relevant company’s head office is located. Applications for pharmaceuticals for which the authority to grant the Marketing Approval remains with the MHLW must be filed with the Pharmaceuticals and Medical Devices Agency. When an application is submitted for a pharmaceutical whose active ingredients, quantities, administration and dosage, method of use, indications and effects are distinctly different from those of pharmaceuticals which have already been approved, the MHLW must seek the opinion of the Pharmaceutical Affairs and Food Sanitation Council.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Pharmaceutical Affairs Law provides that when (a) the pharmaceutical that is the subject of an application is shown not to result in the indicated effects or performance indicated in the application, (b) the pharmaceutical is found to have no value as a pharmaceutical because it has harmful effects outweighing its indicated effects or performance, or (c) in addition to (a) and (b) above, when the pharmaceutical falls within the category designated by the relevant Ministerial Ordinance as not being appropriate as a pharmaceutical, Marketing Approval shall not be granted.</w:t>
      </w:r>
    </w:p>
    <w:p>
      <w:pPr>
        <w:spacing w:after="0" w:line="17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MHLW must cancel a Marketing Approval, after hearing the opinion of the Pharmaceutical Affairs and Food Sanitation Council, when the MHLW finds that the relevant pharmaceutical falls under any of (a) through (c) above. In addition, the MHLW can order the amendment of a Marketing Approval when it is necessary to do so from the viewpoint of public health and hygiene. Moreover, the MHLW can order the cancellation or amendment of a Marketing Approval when (1) the necessary materials for re-examination or re-evaluation, which the MHLW has ordered considering the character of pharmaceuticals, have not been submitted, false materials have been submitted or the materials submitted do not comply with the criteria specified by the MHLW, (2) the relevant company’s Marketing License has expired or has been canceled (a Marketing License needs to be renewed every five years), (3) the regulations regarding investigations of facilities in relation to manufacturing management standards or quality control have been violated, (4) the conditions set in relation to the Marketing Approval have been violated, or (5) the relevant pharmaceutical has not been marketed for three consecutive years without a due reason.</w:t>
      </w:r>
    </w:p>
    <w:p>
      <w:pPr>
        <w:spacing w:after="0" w:line="19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Doctors and pharmacists providing medical services pursuant to national health insurance are prohibited from using pharmaceuticals other than those specified by the MHLW. The MHLW also specifies the standards of pharmaceutical prices, which we refer to herein as Drug Price Standards. The Drug Price Standards are used as the basis of the calculation of the price paid by medical insurance for pharmaceuticals. The governmental policy relating to medical services and the health insurance system, as well as the Drug Price Standards, is revised every two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API</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primary regulatory approval required for API manufacturers selling API for use in FDFs to be marketed in the U.S. is approval of the manufacturing facility in which the API are produced, as well as the manufacturing processes and standards employed in that facility. The regulatory process by which API manufacturers generally register their products for commercial sale in the U.S. and other similarly regulated countries is via the filing of a DMF. DMFs are confidential documents containing information on the manufacturing facility and processes used in the manufacture, characterization, quality control, packaging and storage of an API. The DMF is reviewed for completeness by the FDA, or other similar regulatory agencies in other countries, in conjunction with applications filed by FDF manufacturers, requesting approval to use the given API in the production of their drug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Segment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process required by the FDA before a pharmaceutical product with active ingredients that have not been previously approved may be marketed in the U.S. generally involves the following:</w:t>
      </w:r>
    </w:p>
    <w:p>
      <w:pPr>
        <w:spacing w:after="0" w:line="62" w:lineRule="exact"/>
        <w:rPr>
          <w:sz w:val="20"/>
          <w:szCs w:val="20"/>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laboratory and preclinical tests;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of an Investigational New Drug (“IND”) application, which must become effective before clinical studies may begin;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adequate and well-controlled human clinical studies to establish the safety and efficacy of the proposed product for its intended use;</w:t>
      </w:r>
    </w:p>
    <w:p>
      <w:pPr>
        <w:spacing w:after="0" w:line="128" w:lineRule="exact"/>
        <w:rPr>
          <w:rFonts w:ascii="Arial" w:cs="Arial" w:eastAsia="Arial" w:hAnsi="Arial"/>
          <w:sz w:val="17"/>
          <w:szCs w:val="17"/>
          <w:color w:val="auto"/>
        </w:rPr>
      </w:pPr>
    </w:p>
    <w:p>
      <w:pPr>
        <w:ind w:left="1140" w:right="220" w:hanging="322"/>
        <w:spacing w:after="0" w:line="308"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submission of an NDA containing the results of the preclinical tests and clinical studies establishing the safety and efficacy of the proposed product for its intended use, as well as extensive data addressing matters such as manufacturing and quality assurance;</w:t>
      </w:r>
    </w:p>
    <w:p>
      <w:pPr>
        <w:spacing w:after="0" w:line="38" w:lineRule="exact"/>
        <w:rPr>
          <w:rFonts w:ascii="Arial" w:cs="Arial" w:eastAsia="Arial" w:hAnsi="Arial"/>
          <w:sz w:val="17"/>
          <w:szCs w:val="17"/>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scale-up to commercial manufacturing;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approval of an NDA.</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Preclinical tests include laboratory evaluation of the product and its chemistry, formulation and stability, as well as toxicology and pharmacology studies to help define the pharmacological profile of the drug and assess the potential safety and efficacy of the product. The results of these studies are submitted to the FDA as part of the IND. They must demonstrate that the product delivers sufficient quantities of the drug to the bloodstream or intended site of action to produce the desired therapeutic results, before human clinical trials may begin. These studies must also provide the appropriate supportive safety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information necessary for the FDA to determine whether the clinical studies proposed to be conducted under the IND can safely proceed. The IND automatically becomes effective 30 days after receipt by the FDA unless the FDA, during that 30-day period, raises concerns or questions about the conduct of the proposed trials, as outlined in the IND. In such cases, the IND sponsor and the FDA must resolve any outstanding concerns before clinical trials may begin. In addition, an independent institutional review board must review and approve any clinical study prior to initiation.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studies are typically conducted in three sequential phases, which may overlap:</w:t>
      </w:r>
    </w:p>
    <w:p>
      <w:pPr>
        <w:spacing w:after="0" w:line="117" w:lineRule="exact"/>
        <w:rPr>
          <w:sz w:val="20"/>
          <w:szCs w:val="20"/>
          <w:color w:val="auto"/>
        </w:rPr>
      </w:pPr>
    </w:p>
    <w:p>
      <w:pPr>
        <w:ind w:left="1140" w:right="220" w:hanging="32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Phase I: </w:t>
      </w:r>
      <w:r>
        <w:rPr>
          <w:rFonts w:ascii="Arial" w:cs="Arial" w:eastAsia="Arial" w:hAnsi="Arial"/>
          <w:sz w:val="18"/>
          <w:szCs w:val="18"/>
          <w:color w:val="auto"/>
        </w:rPr>
        <w:t>The drug is initially introduced into a relatively small number of healthy human subjects or patients and is tested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mechanism of action, absorption, metabolism, distribution and excretion.</w:t>
      </w:r>
    </w:p>
    <w:p>
      <w:pPr>
        <w:spacing w:after="0" w:line="62" w:lineRule="exact"/>
        <w:rPr>
          <w:rFonts w:ascii="Arial" w:cs="Arial" w:eastAsia="Arial" w:hAnsi="Arial"/>
          <w:sz w:val="18"/>
          <w:szCs w:val="18"/>
          <w:color w:val="auto"/>
        </w:rPr>
      </w:pPr>
    </w:p>
    <w:p>
      <w:pPr>
        <w:ind w:left="1140" w:right="80" w:hanging="32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Studies are performed with a limited patient population to identify possible adverse effects and safety risks, to assess the efficacy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for specific targeted diseases or conditions, and to determine dosage tolerance and optimal dosage.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Phase III: </w:t>
      </w:r>
      <w:r>
        <w:rPr>
          <w:rFonts w:ascii="Arial" w:cs="Arial" w:eastAsia="Arial" w:hAnsi="Arial"/>
          <w:sz w:val="17"/>
          <w:szCs w:val="17"/>
          <w:color w:val="auto"/>
        </w:rPr>
        <w:t>When Phase II evaluations demonstrate that a dosage range of the product is effective and has an acceptable safety profile,</w:t>
      </w:r>
    </w:p>
    <w:p>
      <w:pPr>
        <w:spacing w:after="0" w:line="34" w:lineRule="exact"/>
        <w:rPr>
          <w:rFonts w:ascii="Arial" w:cs="Arial" w:eastAsia="Arial" w:hAnsi="Arial"/>
          <w:sz w:val="17"/>
          <w:szCs w:val="17"/>
          <w:color w:val="auto"/>
        </w:rPr>
      </w:pPr>
    </w:p>
    <w:p>
      <w:pPr>
        <w:ind w:left="1140"/>
        <w:spacing w:after="0" w:line="261" w:lineRule="auto"/>
        <w:rPr>
          <w:rFonts w:ascii="Arial" w:cs="Arial" w:eastAsia="Arial" w:hAnsi="Arial"/>
          <w:sz w:val="17"/>
          <w:szCs w:val="17"/>
          <w:color w:val="auto"/>
        </w:rPr>
      </w:pPr>
      <w:r>
        <w:rPr>
          <w:rFonts w:ascii="Arial" w:cs="Arial" w:eastAsia="Arial" w:hAnsi="Arial"/>
          <w:sz w:val="18"/>
          <w:szCs w:val="18"/>
          <w:color w:val="auto"/>
        </w:rPr>
        <w:t>Phase III trials are undertaken to evaluate further dosage and clinical efficacy and to test further for safety in an expanded patient population at geographically dispersed clinical study sites.</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results of the product development, preclinical studies and clinical studies are then submitted to the FDA as part of the NDA. The NDA drug development and approval process could take from three to more than ten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Research and development efforts are conducted on a global basis, primarily to enable us to develop, manufacture and market approved pharmaceutical products in accordance with applicable government regulations. We have significantly bolstered our global research and development capabilities over the past several years, including through the 2010 acquisition of Bioniche Pharma, which significantly enhanced our injectables platform and our late 2011 acquisition of Pfizer’s respiratory delivery platform. In the U.S., our largest market, the FDA is the principal regulatory body with respect to pharmaceutical products. Each of our other markets has separate pharmaceutical regulatory bodies, including, but not limited to, the Agence Nationale de Securite du Medicament et de Sante in France, Health Canada, the Medicines and Healthcare products Regulatory Agency in the U.K., the EMA (a decentralized body of the EU), the Bundesinstitut für Arzneimittel und Medizinprodukte in Germany, the Irish Medicines Board in Ireland, the Agenzia Italiana del Farmaco in Italy, the Agencia Española de Medicamentos y Productos Sanitarios in Spain, the TGA in Australia, the MHLW in Japan, Drug Controller General of India, and the World Health Organization (“WHO”), the regulatory body of the United Nations.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global research and development strategy emphasizes the following areas:</w:t>
      </w:r>
    </w:p>
    <w:p>
      <w:pPr>
        <w:spacing w:after="0" w:line="117"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both branded and generic finished dose products for the global marketplace, including ARV programs;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monoclonal anti-bodies (“biologics”)</w:t>
      </w:r>
    </w:p>
    <w:p>
      <w:pPr>
        <w:spacing w:after="0" w:line="117" w:lineRule="exact"/>
        <w:rPr>
          <w:rFonts w:ascii="Arial" w:cs="Arial" w:eastAsia="Arial" w:hAnsi="Arial"/>
          <w:sz w:val="18"/>
          <w:szCs w:val="18"/>
          <w:color w:val="auto"/>
        </w:rPr>
      </w:pPr>
    </w:p>
    <w:p>
      <w:pPr>
        <w:ind w:left="1140" w:right="60" w:hanging="322"/>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pharmaceutical products that are technically difficult to formulate or manufacture because of either unusual factors that affect their stability or bioequivalence or unusually stringent regulatory requirements;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novel controlled-release technologies and the application of these technologies to reference products;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injectable products;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unit dose oral inhalation products for nebulization;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a dry powder inhaler for the treatment of asthma and COPD and other respiratory therapies;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API;</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drugs that target smaller, specialized or underserved markets;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generic drugs that represent first-to-file opportunities in the U.S. market;</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the existing solid oral dosage product portfolio, including with respect to additional dosage strengths;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1140" w:right="340" w:hanging="322"/>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additional preclinical and clinical studies for approved NDA products required by the FDA, known as post-approval (Phase IV) commitments;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conducting life-cycle management studies intended to further define the profile of products subject to pending or approved NDAs.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success of generic biologics in the marketplace and our ability to be successful in this emerging market will depend on the implementation of balanced scientific standards for approval, while not imposing excessive clinical testing demands or other hurdles for well-established products. Furthermore, an efficient patent resolution mechanism and a well-defined mechanism to grant interchangeability after the establishment of biosimilarity with the reference biological product will be key elements determining our future success in this area.</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2011, we acquired from Pfizer the exclusive worldwide rights to develop, manufacture and commercialize a generic equivalent to GlaxoSmithKline's Advair® Diskus and Seretide® Diskus incorporating Pfizer's proprietary dry powder inhaler delivery platform (the “Respiratory Delivery Platform”). The acquisition of the Respiratory Delivery Platform fills an important strategic gap in our product portfolio and will expand our focus on difficult-to-produce, limited competition products.</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We have a robust generic pipeline. As of December 31, 2012, we had approximately 1,000 country level product approvals pending. During 2012, we completed more than 690 global country level product submissions, which included 88 in North America, 375 in EMEA and 229 in Asia Pacific. These submissions included those for existing products in new markets as well as products new to the Mylan portfolio.</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the year ended December 31, 2012, we received 675 product approvals globally, including individual country level approvals. Of that total, there were 84 approvals in North America, including 49 in the U.S., 30 in Asia Pacific, 478 country level approvals in EMEA, and 106 country level approvals for ARV products. The 49 approvals in the U.S. consisted of 43 final ANDA approvals and six tentative ANDA approvals. The 106 country level ARV approvals received consisted of 23 products in 35 different countries, with one ARV approval in the U.S. based upon the U.S. President’s Emergency Plan for AIDS Relief.</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December 31, 2012, we had 183 ANDAs pending FDA approval, representing $79.9 billion in annual sales for the brand name equivalents of these products for the twelve months ended June 30, 2012. Of those pending product applications, 34 were first-to-file Paragraph IV ANDA patent challenges, representing $20.8 billion in annual brand sales for the twelve months ended June 30, 2012. The historic branded drug sales are not indicative of future generic sales, but are included to illustrate the size of the branded product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We own or license a number of patents in the U.S. and other countries covering certain products and have also developed brand names and trademarks for other products. Generally, the brand pharmaceutical business relies upon patent protection to ensure market exclusivity for the life of the patent. We consider the overall protection of our patents, trademarks and license rights to be of material value and act to protect these rights from infringement. However, our business is not dependent upon any single patent, trademark or license.</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branded pharmaceutical industry, the majority of an innovative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The rate of this decline varies by country and by therapeutic category; however, following patent expiration, branded products often continue to have market viability based upon the goodwill of the product name, which typically benefits from trademark protection.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 innovator product’s market exclusivity is generally determined by two forms of intellectual property: patent rights held by the innovator company and any regulatory forms of exclusivity to which the innovator is entitled.</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Patents are a key determinant of market exclusivity for most branded pharmaceuticals. Patents provide the innovator with the right to exclude others from practicing an invention related to the medicine. Patents may cover, among other things, the active ingredient(s), various uses of a drug product, pharmaceutical formulations, drug delivery mechanisms and processes for (or intermediates useful in) the manufacture of products. Protection for individual products extends for varying periods in accordance with the expiration dates of patents in the various countries. The protection afforded, which may also vary from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country to country, depends upon the type of patent, its scope of coverage and the availability of meaningful legal remedies in the country.</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Market exclusivity is also sometimes influenced by regulatory intellectual property rights. Many developed countries provide certain non-patent incentives for the development of medicines. For example, the U.S., the EU and Japan each provide for a minimum period of time after the approval of a new drug during which the regulatory agency may not rely upon the innovator’s data to approve a competitor’s generic copy. Regulatory intellectual property rights are also available in certain markets as incentives for research on new indications, on orphan drugs and on medicines useful in treating pediatric patients. Regulatory intellectual property rights are independent of any patent rights and can be particularly important when a drug lacks broad patent protection. However, most regulatory forms of exclusivity do not prevent a competitor from gaining regulatory approval prior to the expiration of regulatory data exclusivity on the basis of the competitor’s own safety and efficacy data on its drug, even when that drug is identical to that marketed by the innovator.</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estimate the likely market exclusivity period for each of our branded products on a case-by-case basis. It is not possible to predict the length of market exclusivity for any of our branded products with certainty because of the complex interaction between patent and regulatory forms of exclusivity, and inherent uncertainties concerning patent litigation. There can be no assurance that a particular product will enjoy market exclusivity for the full period of time that we currently estimate or that the exclusivity will be limited to the estimate.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patents and regulatory forms of exclusivity, we also market products with trademarks. Trademarks have no effect on market exclusivity for a product, but are considered to have marketing value. Trademark protection continues in some countries as long as used; in other countries, as long as registered. Registration is for fixed terms and may be renewed indefinitely.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Generics Segment</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North America, we market products directly to wholesalers, distributors, retail pharmacy chains, long-term care pharmacies, mail order pharmacies and group purchasing organizations. We also market our generic products indirectly to independent pharmacies, managed care organizations, hospitals, nursing homes, pharmacy benefit management companies and government entities. These customers, called “indirect customers,” purchase our products primarily through our wholesale customers.</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EMEA and Asia Pacific, generic pharmaceuticals are sold to wholesalers, independent pharmacies and, in certain countries, directly to hospitals. Through a broad network of sales representatives, we adapt our marketing strategy to the different markets as dictated by their respective regulatory and competitive landscapes. Our API are sold primarily to generic FDF manufacturers throughout the world, as well as to other Mylan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Segment</w:t>
      </w:r>
    </w:p>
    <w:p>
      <w:pPr>
        <w:spacing w:after="0" w:line="22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Mylan Specialty markets its products to a number of different customer audiences in the U.S., including health care practitioners, wholesalers, pharmacists and pharmacy chains, hospitals, payers, PBMs, HMOs, home health care, long-term care and patients. We reach these customers through our field-based sales force and National Accounts team of approximately 340 employees, to increase our customers’ understanding of the unique clinical characteristics and benefits of our branded products. Additionally, Mylan Specialty supports educational programs to consumers and patients.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Customers</w:t>
      </w:r>
    </w:p>
    <w:p>
      <w:pPr>
        <w:spacing w:after="0" w:line="225"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During 2012, sales to Cardinal Health, Inc. and McKesson Corporation represented approximately 14% and 13% of consolidated net revenues, respectively. During 2011, sales to Cardinal Health, Inc. and McKesson Corporation represented approximately 13% and 11% of consolidated net revenues, respectively. Sales to Cardinal Health, Inc. and McKesson Corporation represented approximately 11% each of consolidated net revenues during 2010.</w:t>
      </w:r>
    </w:p>
    <w:p>
      <w:pPr>
        <w:spacing w:after="0" w:line="14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Consistent with industry practice, we have a return policy that allows our customers to return product within a specified period prior to and subsequent to the expiration date. See the Application of Critical Accounting Policies section of our “Management’s Discussion and Analysis of Results of Operations and Financial Condition” for a discussion of several of our revenue recognition provisions.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Our primary competitors include other generic companies (both major multinational generic drug companies and various local generic drug companies) and branded drug companies that continue to sell or license branded pharmaceutical products after patent expirations and other statutory expirations. In the branded space, key competitors are generally other branded products that compete based on their clinical characteristics and benefits.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Competitive factors in the major markets in which we participate can be summarized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United States. </w:t>
      </w:r>
      <w:r>
        <w:rPr>
          <w:rFonts w:ascii="Arial" w:cs="Arial" w:eastAsia="Arial" w:hAnsi="Arial"/>
          <w:sz w:val="16"/>
          <w:szCs w:val="16"/>
          <w:color w:val="auto"/>
        </w:rPr>
        <w:t>The U.S. pharmaceutical industry is very competitive. Our competitors vary depending upon therapeutic areas and product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Primary competitors include the major manufacturers of brand name and generic pharmaceuticals.</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primary means of competition are innovation and development, timely FDA approval, manufacturing capabilities, product quality, marketing, portfolio offering size, customer service, reputation and price. The environment of the U.S. pharmaceutical marketplace is highly sensitive to price. To compete effectively, we rely on cost-effective manufacturing processes to meet the rapidly changing needs of our customers around a reliable, high quality supply of generic pharmaceutical products. With regard to our Specialty Segment business, significant sales and marketing effort is required to be directed to each targeted customer segment in order to compete effectively.</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competitors include other generic manufacturers, as well as brand companies that license their products to generic manufacturers prior to patent expiration or as relevant patents expire. Further regulatory approval is not required for a brand manufacturer to sell its pharmaceutical products directly or through a third-party to the generic market, nor do such manufacturers face any other significant barriers to entry into such market. Related to our Specialty Segment business, our competitors include branded manufacturers who offer products for the treatment of COPD, severe allergies and major depressive disorder, as well as brand companies that license their products to generic manufacturers prior to patent expiration.</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U.S. pharmaceutical market is undergoing, and is expected to continue to undergo, rapid and significant technological changes, and we expect competition to intensify as technological advances are made. We intend to compete in this marketplace by (1) developing therapeutic equivalents to branded products that offer unique marketing opportunities, are difficult to formulate and/or have significant market size, (2) developing or licensing brand pharmaceutical products that are either patented or proprietary and (3) developing or licensing pharmaceutical products that are primarily for indications having relatively large patient populations or that have limited or inadequate treatments available.</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sales can be impacted by new studies that indicate that a competitor’s product has greater efficacy for treating a disease or particular form of a disease than one of our products. Our sales also can be impacted by additional labeling requirements relating to safety or convenience that may be imposed on our products by the FDA or by similar regulatory agencies. If competitors introduce new products and processes with therapeutic or cost advantages, our products can be subject to progressive price reductions and/or decreased volume of sales.</w:t>
      </w:r>
    </w:p>
    <w:p>
      <w:pPr>
        <w:spacing w:after="0" w:line="187"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Medicaid, a U.S. federal health care program, requires all pharmaceutical manufacturers to pay rebates to state Medicaid agencies. The rebates are based on the volume of drugs that are reimbursed by the states for Medicaid beneficiaries. The Patient Protection and Affordable Care Act (the “PPACA”) and the Health Care and Education and Reconciliation Act of 2010, which amends the PPACA, raised the rebate percentages for both generic and brand pharmaceuticals effective January 1, 2010. The required rebate is currently 13% of the average manufacturer’s price for sales of Medicaid-reimbursed products marketed under ANDAs, up from 11% for periods prior to 2010. Sales of Medicaid-reimbursed products marketed under NDAs require manufacturers to rebate the greater of approximately 23% (up from 15%) of the average manufacturer’s price or the difference between the average manufacturer’s price and the best price during a specific period. We believe that federal or state governments may continue to enact measures aimed at reducing the cost of drugs to the public.</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Under Part D of the Medicare Modernization Act, Medicare beneficiaries are eligible to obtain discounted prescription drug coverage from private sector providers. As a result, usage of pharmaceuticals has increased, which is a trend that we believe will continue to benefit the generic pharmaceutical industry. However, such potential sales increases may be offset by increased pricing pressures, due to the enhanced purchasing power of the private sector providers that are negotiating on behalf of Medicare beneficiaries.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France. </w:t>
      </w:r>
      <w:r>
        <w:rPr>
          <w:rFonts w:ascii="Arial" w:cs="Arial" w:eastAsia="Arial" w:hAnsi="Arial"/>
          <w:sz w:val="18"/>
          <w:szCs w:val="18"/>
          <w:color w:val="auto"/>
        </w:rPr>
        <w:t>Generic penetration in France is relatively low compared to other large pharmaceutical markets, with low prices resulting from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As pharmacists are the primary customers in this market, established relationships, driven by breadth of portfolio and effective supply chain management, are key competitive advantages.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i w:val="1"/>
          <w:iCs w:val="1"/>
          <w:color w:val="auto"/>
        </w:rPr>
        <w:t xml:space="preserve">Italy. </w:t>
      </w:r>
      <w:r>
        <w:rPr>
          <w:rFonts w:ascii="Arial" w:cs="Arial" w:eastAsia="Arial" w:hAnsi="Arial"/>
          <w:sz w:val="16"/>
          <w:szCs w:val="16"/>
          <w:color w:val="auto"/>
        </w:rPr>
        <w:t>The Italian generic market is relatively small due to few incentives for market stakeholders, and in part to low prices on available brand name</w:t>
      </w:r>
      <w:r>
        <w:rPr>
          <w:rFonts w:ascii="Arial" w:cs="Arial" w:eastAsia="Arial" w:hAnsi="Arial"/>
          <w:sz w:val="16"/>
          <w:szCs w:val="16"/>
          <w:i w:val="1"/>
          <w:iCs w:val="1"/>
          <w:color w:val="auto"/>
        </w:rPr>
        <w:t xml:space="preserve"> </w:t>
      </w:r>
      <w:r>
        <w:rPr>
          <w:rFonts w:ascii="Arial" w:cs="Arial" w:eastAsia="Arial" w:hAnsi="Arial"/>
          <w:sz w:val="16"/>
          <w:szCs w:val="16"/>
          <w:color w:val="auto"/>
        </w:rPr>
        <w:t>drugs. Also to be considered is the fact that the generic market in Italy suffered a certain delay compared to other European countries due to extended patent protection. The Italian government has put forth only limited measures aimed at increasing generic usage, and as such generic substitution is still in its early stages. Pharmacists will play a key role in future market expansion, due to higher margins provided by generic versus branded products.</w:t>
      </w:r>
    </w:p>
    <w:p>
      <w:pPr>
        <w:spacing w:after="0" w:line="15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 xml:space="preserve">Spain. </w:t>
      </w:r>
      <w:r>
        <w:rPr>
          <w:rFonts w:ascii="Arial" w:cs="Arial" w:eastAsia="Arial" w:hAnsi="Arial"/>
          <w:sz w:val="16"/>
          <w:szCs w:val="16"/>
          <w:color w:val="auto"/>
        </w:rPr>
        <w:t>Spain is a rapidly growing, highly fragmented generic market with many participants. As a result of recent legislative changes, all regions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Spain will move to INN prescribing and substitution, thus making the pharmacists the key driver of generic usage. Companies compete in Spain based on being first to market, offering a wide portfolio, building strong relationships with customers and providing a consistent supply of quality products.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The German market has become highly competitive as a result of a large number of generic players, one of the highest generic penetration</w:t>
      </w:r>
      <w:r>
        <w:rPr>
          <w:rFonts w:ascii="Arial" w:cs="Arial" w:eastAsia="Arial" w:hAnsi="Arial"/>
          <w:sz w:val="18"/>
          <w:szCs w:val="18"/>
          <w:i w:val="1"/>
          <w:iCs w:val="1"/>
          <w:color w:val="auto"/>
        </w:rPr>
        <w:t xml:space="preserve"> </w:t>
      </w:r>
      <w:r>
        <w:rPr>
          <w:rFonts w:ascii="Arial" w:cs="Arial" w:eastAsia="Arial" w:hAnsi="Arial"/>
          <w:sz w:val="18"/>
          <w:szCs w:val="18"/>
          <w:color w:val="auto"/>
        </w:rPr>
        <w:t>rates in Europe, and the continued use of a tender system. Under a tender system, health insurers are entitled to issue invitations to tender products. Pricing pressures resulting from an effort to win the tender should drive near-term competition.</w:t>
      </w:r>
    </w:p>
    <w:p>
      <w:pPr>
        <w:spacing w:after="0" w:line="181"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i w:val="1"/>
          <w:iCs w:val="1"/>
          <w:color w:val="auto"/>
        </w:rPr>
        <w:t xml:space="preserve">United Kingdom. </w:t>
      </w:r>
      <w:r>
        <w:rPr>
          <w:rFonts w:ascii="Arial" w:cs="Arial" w:eastAsia="Arial" w:hAnsi="Arial"/>
          <w:sz w:val="17"/>
          <w:szCs w:val="17"/>
          <w:color w:val="auto"/>
        </w:rPr>
        <w:t>The U.K. is one of the most competitive markets, with low barriers to entry and a high degree of fragmentation. 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among manufacturers, along with indirect control of pricing by the government, has led to strong downward pricing pressure. Companies in the U.K. will continue to compete on price, with consistent supply chain and breadth of product portfolio also coming into play.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Australia. </w:t>
      </w:r>
      <w:r>
        <w:rPr>
          <w:rFonts w:ascii="Arial" w:cs="Arial" w:eastAsia="Arial" w:hAnsi="Arial"/>
          <w:sz w:val="16"/>
          <w:szCs w:val="16"/>
          <w:color w:val="auto"/>
        </w:rPr>
        <w:t>The Australian generic market is small by international standards, in terms of prescriptions, value and the number of active participants.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 extensions that delayed patent expiration are somewhat responsible for under-penetration of generic products.</w:t>
      </w:r>
    </w:p>
    <w:p>
      <w:pPr>
        <w:spacing w:after="0" w:line="21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i w:val="1"/>
          <w:iCs w:val="1"/>
          <w:color w:val="auto"/>
        </w:rPr>
        <w:t xml:space="preserve">Japan. </w:t>
      </w:r>
      <w:r>
        <w:rPr>
          <w:rFonts w:ascii="Arial" w:cs="Arial" w:eastAsia="Arial" w:hAnsi="Arial"/>
          <w:sz w:val="16"/>
          <w:szCs w:val="16"/>
          <w:color w:val="auto"/>
        </w:rPr>
        <w:t>Historically, government initiatives have kept all drug prices low, resulting in little incentive for generic usage. More recent pro-generic</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by the government should lead to growth in the generics market, in which doctors, pharmacists and hospital purchasers will all play a key role.</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India. </w:t>
      </w:r>
      <w:r>
        <w:rPr>
          <w:rFonts w:ascii="Arial" w:cs="Arial" w:eastAsia="Arial" w:hAnsi="Arial"/>
          <w:sz w:val="18"/>
          <w:szCs w:val="18"/>
          <w:color w:val="auto"/>
        </w:rPr>
        <w:t>Intense competition by other API suppliers in the Indian pharmaceuticals market has, in recent years, led to increased pressure on prices.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that the exports of API and generic FDF products from India to developed markets will continue to increase. The success of Indian pharmaceutical companies is attributable to established development expertise in chemical synthesis and process engineering, development of FDF, availability of highly skilled labor and the low cost manufacturing base.</w:t>
      </w:r>
    </w:p>
    <w:p>
      <w:pPr>
        <w:spacing w:after="0" w:line="187"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The Indian commercial market is a rapidly growing, highly fragmented generic market with a significant number of participants. Companies compete in India based on a wide portfolio, building strong relationships with customers and providing a consistent supply of quality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Global product liability litigation represents an inherent risk to firms in the pharmaceutical industry. We utilize a combination of self-insurance (including through our wholly owned captive insurance subsidiary) and traditional third-party insurance policies with regard to our product liability claims. Such insurance coverage at any given time reflects market conditions, including cost and availability, existing at the time the policy is written, and the decision to obtain commercial insurance coverage or to self-insure varies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Mylan utilizes a global approach to managing relationships with its suppliers. Mylan India provides Mylan with significant benefits of vertical integration and continued opportunities as a part of our global pharmaceutical platform. The APIs and other materials and supplies used in our pharmaceutical manufacturing operations are generally available and purchased from many different U.S. and non-U.S. suppliers, including Mylan India. However, in some cases, the raw materials used to manufacture pharmaceutical products are available only from a single supplier. Even when more than one supplier exists, we may choose, and in some cases have chosen, only to list one supplier in our applications submitted to the FDA. Any change in a supplier not previously approved must then be submitted through a formal approval process with the FDA.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Certain parts of our business are affected by seasonality, primarily the Specialty Segment and the Asia Pacific region within our Generics Segment. The seasonal impact of these particular businesses may affect a quarterly comparison within any fiscal year; however, this impact is generally not significant to our annual consolidated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believe that our operations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Mylan’s global workforce includes more than 20,000 employees and external contractors. Certain production and maintenance employees at our manufacturing facility in Morgantown, West Virginia, are represented by the United Steel, Paper and Forestry, Rubber, Manufacturing, Energy, Allied Industrial and Service Workers International Union and its Local Union 8-957 AFL-CIO under a contract that expires on April 21, 2017. In addition, there are non-U.S. Mylan locations that have employees who are unionized or part of works councils or trade unions.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Act Reports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Mylan maintains an Internet website at the following address: investor.mylan.com. We make available on or through our Internet website certain reports and amendments to those reports that we file with the Securities and Exchange Commission (the “SEC”) in accordance with the Securities Exchange Act of 1934.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The contents of our website are not incorporated by reference in this Report on Form 10-K and shall not be deemed “filed” under the Securities Exchange Act of 1934.</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public may also read and copy any materials that we file with the SEC at the SEC’s Public Reference Room at 100 F Street NE, Washington, D.C. 20549. You may obtain information about the Public Reference Room by contacting the SEC at 1-800-SEC-0330. Reports filed with the SEC are also made available on the SEC website (www.sec.gov).</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risk factors could have a material adverse effect on our business, financial position or results of operations and could cause the market value of our common stock to decline. These risk factors may not include all of the important factors that could affect our business or our industry or that could cause our future financial results to differ materially from historic or expected results or cause the market price of our common stock to fluctuate or decline.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CURRENT ECONOMIC CONDITIONS MAY ADVERSELY AFFECT OUR INDUSTRY, BUSINESS, FINANCIAL POSITION AND RESULTS OF OPERATIONS AND COULD CAUSE THE MARKET VALUE OF OUR COMMON STOCK TO DECLINE.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Over the past few years, the global economy has undergone a period of significant volatility, and the economic environment may continue to be less favorable than that of past years. In particular, the risk of a debt default by certain European countries and related European financial structuring efforts or deficit reduction programs instituted by the U.S. government could negatively impact the global economy. This has led, and/or could lead, to reduced consumer and customer spending and/or reduced or eliminated third party payor coverage or reimbursement in the foreseeable future, and this may include spending on health care. While generic drugs present an ideal alternative to higher-priced branded products, our sales could be negatively impacted if patients forego obtaining health care, customers reduce spending or purchases, and/or if third-party payors reduce or eliminate coverage or reimbursement amounts. In addition, reduced consumer and customer spending and/or reduced third party payor coverage or reimbursement, may drive us and our competitors to decrease prices and may reduce the ability of customers to pay their obligations. These conditions may have a material adverse effect on our industry, business, financial position and results of operations and may cause the market value of our common stock to decline.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INTEGRATION OF ACQUIRED BUSINESSES INVOLVES A NUMBER OF RISKS. THESE RISKS COULD CAUSE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There are a number of operational risks associated with the integration of acquired businesses. These risks include, but are not limited to, difficulties in achieving identified financial and operating synergies, cost savings, revenue synergies and growth opportunities; difficulties in consolidating information technology platforms, business applications and corporate infrastructure; our substantial indebtedness and assumed liabilities; challenges associated with operating in new markets; and the unanticipated effects of export controls, exchange rate fluctuations, domestic and foreign political conditions or domestic and foreign economic conditions.</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These factors could impair our growth and ability to compete, require us to focus additional resources on integration of operations rather than other profitable areas, or otherwise cause a material adverse effect on our business, financial position and results of operations and could cause a decline in the market value of our common stock.</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HAVE GROWN AT A VERY RAPID PACE. OUR INABILITY TO PROPERLY MANAGE OR SUPPORT THIS GROWTH MAY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We have grown very rapidly over the past few years, through our acquisitions of the former Merck Generics business, the former Matrix Laboratories Limited, Bioniche Pharma and the Respiratory Delivery Platform. This growth has put significant demands on our processes, systems and people. We expect to make further investments in additional personnel, systems and internal control processes to help manage our growth. Attracting, retaining and motivating key employees in various departments and locations to support our growth are critical to our business, and competition for these people can be intense. If we are unable to hire and retain qualified employees and if we do not continue to invest in systems and processes to manage and support our rapid growth, there may be a material adverse effect on our business, financial position and results of operations, and the market value of our common stock could decline.</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GLOBAL FOOTPRINT EXPOSES US TO ADDITIONAL RISKS WHICH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operations extend to numerous countries outside the U.S., and operating globally exposes us to certain additional risks including, but not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140" w:right="160" w:hanging="322"/>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 variety of national and local laws of countries in which we do business, including restrictions on the import and export of certain intermediates, drugs and technologies;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a variety of U.S. laws including, but not limited to, the Iran Threat Reduction and Syria Human Rights Act of 2012;</w:t>
      </w:r>
    </w:p>
    <w:p>
      <w:pPr>
        <w:spacing w:after="0" w:line="128" w:lineRule="exact"/>
        <w:rPr>
          <w:rFonts w:ascii="Arial" w:cs="Arial" w:eastAsia="Arial" w:hAnsi="Arial"/>
          <w:sz w:val="17"/>
          <w:szCs w:val="17"/>
          <w:color w:val="auto"/>
        </w:rPr>
      </w:pPr>
    </w:p>
    <w:p>
      <w:pPr>
        <w:ind w:left="1140" w:right="460" w:hanging="322"/>
        <w:spacing w:after="0" w:line="308"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laws, regulations, and practices affecting the pharmaceutical industry and the health care system, including but not limited to imports, exports, manufacturing, cost, pricing, reimbursement, approval, inspection, and delivery of health care;</w:t>
      </w:r>
    </w:p>
    <w:p>
      <w:pPr>
        <w:spacing w:after="0" w:line="38" w:lineRule="exact"/>
        <w:rPr>
          <w:rFonts w:ascii="Arial" w:cs="Arial" w:eastAsia="Arial" w:hAnsi="Arial"/>
          <w:sz w:val="17"/>
          <w:szCs w:val="17"/>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exchange rates for transactions conducted in currencies other than the functional currency;</w:t>
      </w:r>
    </w:p>
    <w:p>
      <w:pPr>
        <w:spacing w:after="0" w:line="117" w:lineRule="exact"/>
        <w:rPr>
          <w:rFonts w:ascii="Arial" w:cs="Arial" w:eastAsia="Arial" w:hAnsi="Arial"/>
          <w:sz w:val="18"/>
          <w:szCs w:val="18"/>
          <w:color w:val="auto"/>
        </w:rPr>
      </w:pPr>
    </w:p>
    <w:p>
      <w:pPr>
        <w:ind w:left="1140" w:right="280" w:hanging="322"/>
        <w:spacing w:after="0" w:line="264"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the economies in which we operate as a result of a slowdown in overall growth, a change in government or economic liberalization policies, or financial, political or social instability in such countries that affects the markets in which we operate, particularly emerging markets;</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wage increases or rising inflation in the countries in which we operate;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disruptions, and increases in energy and transportation costs;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including droughts, floods and earthquakes in the countries in which we operate;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communal disturbances, terrorist attacks, riots or regional hostilities in the countries in which we operate;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uncertainty, including as a result of new or changed laws and regulations.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face the risk that some of our competitors have more experience with operations in such countries or with international operations generally. Furthermore, whether due to language, cultural or other differences, statements we make may be misinterpreted, misconstrued or taken out of context. Finally, the internal political stability of, or the relationship</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between, any country or countries where we conduct business operations may deteriorate. Changes in a country’s political stability or the state of relations between any such countries are difficult to predict and could adversely affect our future operations. Any such changes could lead to a decline in our profitability. Any meaningful deterioration of the political stability in and/or diplomatic relations between any countries in which we do business could have a material adverse effect on our operations. Any of the above factors could have a material adverse effect on our business, financial position and results of operations and could cause a decline in the market value of our common stock.</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A SIGNIFICANT PART OF OUR BUSINESS IS LOCATED IN INDIA AND IS SUBJECT TO REGULATORY, ECONOMIC, SOCIAL AND POLITICAL UNCERTAINTIES IN INDIA. THESE UNCERTAINTIES CREATE RISKS WHICH COULD CAUSE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recent years, Mylan’s Indian subsidiary, Mylan Laboratories Limited, has benefited from many policies of the Government of India and the Indian state governments in the states in which it operates, which are designed to promote foreign investment generally, including significant tax incentives, liberalized import and export duties and preferential rules on foreign investment and repatriation. There is no assurance that such policies will continue. Various factors, such as changes in the current federal government, could trigger significant changes in India’s economic liberalization and deregulation policies and disrupt business and economic conditions in India generally and our business in particular.</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 care and education. Our ability to recruit, train and retain qualified employees and develop and operate our manufacturing facilities in India could be adversely affected if India does not successfully meet these challenges.</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Southern Asia has, from time to time, experienced instances of civil unrest and hostilities among neighboring countries, including India and Pakistan, and within the countries themselves. Rioting, military activity or terrorist attacks in the future could influence the Indian economy by disrupting communications and making travel and the conduct of our business more difficult. Resulting political tensions could create a greater perception that investments in companies with Indian operations involve a high degree of risk, and that there is a risk of disruption of services provided by companies with Indian operations, which could have a material adverse effect on the market for Mylan Laboratories Limited’s products. Furthermore, if India were to become engaged in armed hostilities, particularly hostilities that were protracted or involved the threat or use of nuclear weapons, Mylan Laboratories Limited might not be able to continue its operations. We generally do not have insurance for losses and interruptions caused by terrorist attacks, military conflicts and wars. These risks could cause a material adverse effect on our business, financial position and results of operations and could cause the market value of our common stock to decline.</w:t>
      </w:r>
    </w:p>
    <w:p>
      <w:pPr>
        <w:spacing w:after="0" w:line="197"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i w:val="1"/>
          <w:iCs w:val="1"/>
          <w:color w:val="auto"/>
        </w:rPr>
        <w:t>MOVEMENTS IN FOREIGN CURRENCY EXCHANGE RATES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significant portion of our revenues, indebtedness and other liabilities and our costs are denominated in foreign currencies, including the Euro, the Australian Dollar, the British Pound, the Canadian Dollar, the Indian Rupee and the Japanese Yen. We report our financial results in U.S. Dollars. Our results of operations and, in some cases, cash flows, have in the past been and may in the future be adversely affected by certain movements in exchange rates. In particular, the risk of a debt default by certain European countries and related European financial restructuring efforts may cause volatility in the value of the Euro.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These risks could cause a material adverse effect on our business, financial position and results of operations and could cause the market value of our common stock to decline.</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ARE SUBJECT TO THE U.S. FOREIGN CORRUPT PRACTICES ACT AND SIMILAR WORLDWIDE ANTI-BRIBERY LAWS, WHICH IMPOSE RESTRICTIONS AND MAY CARRY SUBSTANTIAL PENALTIES. ANY VIOLATIONS OF THESE LAWS, OR ALLEGATIONS OF SUCH VIOLATIONS, COULD HAVE A MATERIAL ADVERSE EFFECT ON OUR BUSINESS, FINANCIAL POSITION AND RESULTS OF OPERATIONS AND COULD CAUSE THE MARKET VALUE OF OUR COMMON STOCK TO DECLINE.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U.S.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We operate in jurisdictions that have experienced governmental and private sector corruption to some degree, and, in certain circumstances, strict compliance with anti-bribery laws may conflict with certain local customs and practices. We cannot assure you that our internal control policies and procedures always will protect us from reckless or other inappropriate acts committed by our affiliates, employees or agents. Violations of these laws, or allegations of such violations, could have a material adverse effect on our business, financial position and results of operations and could cause the market value of our common stock to decline.</w:t>
      </w:r>
    </w:p>
    <w:p>
      <w:pPr>
        <w:spacing w:after="0" w:line="17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b w:val="1"/>
          <w:bCs w:val="1"/>
          <w:i w:val="1"/>
          <w:iCs w:val="1"/>
          <w:color w:val="auto"/>
        </w:rPr>
        <w:t>OUR FUTURE REVENUE GROWTH AND PROFITABILITY ARE DEPENDENT UPON OUR ABILITY TO DEVELOP AND/OR LICENSE, OR OTHERWISE ACQUIRE, AND INTRODUCE NEW PRODUCTS ON A TIMELY BASIS IN RELATION TO OUR COMPETITORS’ PRODUCT INTRODUCTIONS. OUR FAILURE TO DO SO SUCCESSFULLY COULD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future revenues and profitability will depend, to an extent, upon our ability to successfully develop and/or license, or otherwise acquire and commercialize, new generic and patent or statutorily protected pharmaceutical products in a timely manner. Product development is inherently risky, especially for new drugs for which safety and efficacy have not been established and the market is not yet proven. Likewise, product licensing involves inherent risks including uncertainties due to matters that may affect the achievement of milestones, as well as the possibility of contractual disagreements with regard to the supply of product meeting specifications and terms such as license scope or termination rights. The development and commercialization process, particularly with regard to new drugs, also requires substantial time, effort and financial resources. We, or a partner, may not be successful in commercializing any of such products on a timely basis, if at all, which could adversely affect our business, financial position and results of operations and could cause the market value of our common stock to decline.</w:t>
      </w:r>
    </w:p>
    <w:p>
      <w:pPr>
        <w:spacing w:after="0" w:line="17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Before any prescription drug product, including generic drug products, can be marketed, marketing authorization approval is required by the relevant regulatory authorities and/or national regulatory agencies (for example the FDA in the U.S. and the EMA in the EU). The process of obtaining regulatory approval to manufacture and market new and generic pharmaceutical products is rigorous, time consuming, costly and largely unpredictable. Outside the U.S., the approval process may be more or less rigorous, and the time required for approval may be longer or shorter than that required in the</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U.S. Bioequivalence studies conducted in one country may not be accepted in other countries, and the approval of a pharmaceutical product in one country does not necessarily mean that the product will be approved in another country. We, or a partner, may be unable to obtain requisite approvals on a timely basis for new generic or branded products that we may develop, license or otherwise acquire. Moreover, if we obtain regulatory approval for a drug, it may be limited with respect to the indicated uses and delivery methods for which the drug may be marketed, which could in turn restrict our potential market for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 The timing and cost of obtaining regulatory approvals could adversely affect our product introduction plans, business, financial position and results of operations and could cause the market value of our common stock to decline.</w:t>
      </w:r>
    </w:p>
    <w:p>
      <w:pPr>
        <w:spacing w:after="0" w:line="18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and margin erosion over the generic product life cycle.</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the U.S., the Drug Price Competition and Patent Term Restoration Act of 1984, or the Hatch-Waxman Act, provides for a period of 180 days of generic marketing exclusivity for each abbreviated new drug application (“ANDA”) applicant that is first-to-file an ANDA containing a certification of invalidity, non-infringement or unenforceability related to a patent listed with respect to a reference drug product, commonly referred to as a Paragraph IV certification. During this exclusivity period, which under certain circumstances may be required to be shared with other applicable ANDA sponsors with Paragraph IV certifications, the FDA cannot grant final approval to other ANDA sponsors holding applications for the same generic equivalent. If an ANDA containing a Paragraph IV certification is successful and the applicant is awarded exclusivity, the applicant generally enjoys higher market share, net revenues and gross margin for that product. However, our ability to obtain 180 days of generic marketing exclusivity may be dependent upon our ability to obtain FDA approval or tentative approval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within 30 months of the FDA’s acceptance of our ANDA. If we are unable to obtain approval or tentative approval within that time period, we may risk forfeiture of such marketing exclusivity. Even if we obtain FDA approval for our generic drug products, if we are not the first ANDA applicant to challenge a listed patent for such a product, we may lose significant advantages to a competitor that filed its ANDA containing such a challenge. The same would be true in situations where we are required to share our exclusivity period with other ANDA sponsors with Paragraph IV certifications. Such situations could have a material adverse effect on our ability to market that product profitably and on our business, financial position and results of operations, and the market value of our common stock could decline.</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Europe, there is no exclusivity period for the first generic. The EMA or national regulatory agencies may grant marketing authorizations to any number of generics. However, if there are other patents which the brand alleges are relevant, for example, new formulations, the owner of the original brand pharmaceutical may be able to obtain a preliminary injunction in certain European jurisdictions delaying launch of the generic product, depending on local court practices and/or the relevance of the asserted patents.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in other jurisdictions outside the U.S., we may face similar regulatory hurdles and constraints. If we are unable to navigate our products through all of the regulatory hurdles we face in a timely manner it could adversely affect our product introduction plans, business, financial position and results of operations and could cause the market value of our common stock to decline.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EXPEND A SIGNIFICANT AMOUNT OF RESOURCES ON RESEARCH AND DEVELOPMENT EFFORTS THAT MAY NOT LEAD TO SUCCESSFUL PRODUCT INTRODUCTIONS. FAILURE TO SUCCESSFULLY INTRODUCE PRODUCTS INTO THE MARKET COULD HAVE A MATERIAL ADVERSE EFFECT ON OUR BUSINESS, FINANCIAL POSITION AND RESULTS OF OPERATIONS, AND THE MARKET VALUE OF OUR COMMON STOCK COULD DECLINE.</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Much of our development effort is focused on technically difficult-to-formulate products and/or products that require advanced manufacturing technology, including our generic biologics program and respiratory platform. We conduct research and development primarily to enable us to manufacture and market approved pharmaceuticals in accordance with applicable regulations. We also partner with third parties to develop products. Typically, research expenses related to the development of innovative compounds and the filing of marketing authorization applications for innovative compounds (such as NDAs in the U.S.) are significantly greater than those expenses associated with the development of and filing of marketing authorization applications for generic products (such as ANDAs in the U.S. and abridged applications in Europe). As we and our partners continue to develop new products, our research expenses will likely increase. Because of the inherent risk associated with research and development efforts in our industry, particularly with respect to new drugs, our, or a partner’s, research and development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and, as a result, we may incur total research and development costs to develop a particular product in excess of what we anticipated. Finally,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17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OUR APPROVED PRODUCTS MAY NOT ACHIEVE EXPECTED LEVELS OF MARKET ACCEPTANCE, WHICH COULD HAVE A MATERIAL ADVERSE EFFECT ON OUR PROFITABILITY, BUSINESS, FINANCIAL POSITION AND RESULTS OF OPERATIONS AND COULD CAUSE THE MARKET VALUE OF OUR COMMON STOCK TO DECLINE.</w:t>
      </w:r>
    </w:p>
    <w:p>
      <w:pPr>
        <w:spacing w:after="0" w:line="18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Even if we are able to obtain regulatory approvals for our new pharmaceutical products, generic or branded, the success of those products is dependent upon market acceptance. Levels of market acceptance for our new products could be impacted by several factors, including but not limited to:</w:t>
      </w:r>
    </w:p>
    <w:p>
      <w:pPr>
        <w:spacing w:after="0" w:line="16"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alternative products from our competitors;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of our products relative to that of our competitors;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our market entry;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market our products effectively to the retail level;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acceptance of our products by government and private formularies.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these factors are not within our control. Additionally, continuing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products. In some cases, studies have resulted, and may in the future result, in the discontinuance of product marketing or other risk management programs such as the need for a patient registry. These situations, should they occur, could have a material adverse effect on our profitability, business, financial position and results of operations, and could cause the market value of our common stock to decline.</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OUR BUSINESS IS HIGHLY DEPENDENT UPON MARKET PERCEPTIONS OF US, OUR BRANDS AND THE SAFETY AND QUALITY OF OUR PRODUCTS. OUR BUSINESS OR BRANDS COULD BE SUBJECT TO NEGATIVE PUBLICITY, WHICH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Market perceptions of our business are very important to us, especially market perceptions of our brands and the safety and quality of our products. If we, or our brands, suffer from negative publicity, or if any of our products or similar products which other companies distribute are subject to market withdrawal or recall or are proven to be, or are claimed to be, harmful to consumers, then this could have a material adverse effect on our business, financial position and results of operations and could cause the market value of our common stock to decline. Also, because we are dependent on market perceptions, negative publicity associated with product quality, illness or other adverse effects resulting from, or perceived to be resulting from, our products could have a material adverse impact on our business, financial position and results of operations and could cause the market value of our common stock to decline.</w:t>
      </w:r>
    </w:p>
    <w:p>
      <w:pPr>
        <w:spacing w:after="0" w:line="165"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VERSIONS OF OUR PRODUCTS OR OF STOLEN PRODUCTS COULD HAVE A NEGATIVE IMPACT ON OUR REPUTATION AND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drug supply has been increasingly challenged by the vulnerability of distribution channels to illegal counterfeiting and the presence of counterfeit products in a growing number of markets and over the Internet. The World Health Organization (“WHO”) estimates that more than 10% of medications being sold globally are counterfeit.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Third parties may illegally distribute and sell counterfeit versions of our products, which do not meet the rigorous manufacturing and testing standards that our products undergo. Counterfeit products are frequently unsafe or ineffective, and can be potentially life-threatening. Counterfeit medicines may contain harmful substances, the wrong dose of the API or no API at all. However, to distributors and users, counterfeit products may be visually indistinguishable from the authentic version.</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Reports of adverse reactions to counterfeit drugs or increased levels of counterfeiting could materially affect patient confidence in the authentic product. It is possible that adverse events caused by unsafe counterfeit products will mistakenly be attributed to the authentic product. In addition, thefts of inventory at warehouses, plants or while in-transit, which are not properly stored and which are sold through unauthorized channels could adversely impact patient safety, our reputation and our business.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Public loss of confidence in the integrity of pharmaceutical products as a result of counterfeiting or theft could have a material adverse effect on our business, financial position and results of operations and could cause the market value of our common stock to decline.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WE OR ANY PARTNER FAIL TO ADEQUATELY PROTECT OR ENFORCE OUR INTELLECTUAL PROPERTY RIGHTS, THEN WE COULD LOSE REVENUE UNDER OUR LICENSING AGREEMENTS OR LOSE SALES TO GENERIC COPIES OF OUR BRANDED PRODUCTS. THESE RISKS COULD CAUSE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success, particularly in our specialty business, depends in part on our or any partner’s ability to obtain, maintain and enforce patents, and protect trade secrets, know-how and other proprietary information. Our ability to commercialize any branded product successfully will largely depend upon our or any partner’s ability to obtain and maintain patents of sufficient scope to prevent third-parties from developing substantially equivalent products. In the absence of patent and trade secret protection, competitors may adversely affect our branded products business by independently developing and marketing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substantially equivalent products. It is also possible that we could incur substantial costs if we are required to initiate litigation against others to protect or enforce our intellectual property rights.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have filed patent applications covering composition of, methods of making, and/or methods of using, our branded products and branded product candidates. We may not be issued patents based on patent applications already filed or that we file in the future, and if patents are issued, they may be insufficient in scope to cover our branded products. The issuance of a patent in one country does not ensure the issuance of a patent in any other country. Furthermore, the patent position of companies in the pharmaceutical industry generally involves complex legal and factual questions and has been and remains the subject of much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interference proceedings involving our patents or patent applications. Any challenge to, or invalidation or circumvention of, our patents or patent applications would be costly, would require significant time and attention of our management, could cause a material adverse effect on our business, financial position and results of operations and could cause the market value of our common stock to decline.</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BUSINESS COULD BE NEGATIVELY AFFECTED BY THE PERFORMANCE OF OUR COLLABORATION PARTNERS. SUCH NEGATIVE PERFORMANCE COULD CAUSE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have entered into strategic alliances with partners to develop, manufacture or distribute certain products in various markets. The Company commits substantial effort, funds and other resources to these various collaborations. There is a risk that the investments made by the Company in these collaborative arrangements will not generate financial returns. While we believe our relationships with our partners have been good, disputes or conflicting priorities could be a source of delay or uncertainty as to the expected benefits of the collaboration. A failure or inability of our partners to perform their collaboration obligations could have a material adverse effect on our business, financial position and results of operations and could cause a decline in the market value of our common stock.</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FACE VIGOROUS COMPETITION FROM OTHER PHARMACEUTICAL MANUFACTURERS THAT THREATENS THE COMMERCIAL ACCEPTANCE AND PRICING OF OUR PRODUCTS. SUCH COMPETITION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generic pharmaceutical industry is highly competitive. We face competition from many U.S. and foreign manufacturers, some of whom are significantly larger than we are. Our competitors may be able to develop products and processes competitive with or superior to our own for many reasons, including but not limited to the possibility that they may have:</w:t>
      </w:r>
    </w:p>
    <w:p>
      <w:pPr>
        <w:spacing w:after="0" w:line="73"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proprietary processes or delivery systems;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larger research and development and marketing staffs;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larger production capabilities in a particular therapeutic area;</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experience in preclinical testing and human clinical trials;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products; or</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more experience in developing new drugs and greater financial resources, particularly with regard to manufacturers of branded products.</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factors and others could have a material adverse effect on our business, financial position and results of operations and could cause the market value of our common stock to decline.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THE USE OF LEGAL, REGULATORY AND LEGISLATIVE STRATEGIES BY COMPETITORS, BOTH BRAND AND GENERIC, INCLUDING “AUTHORIZED GENERICS” AND CITIZEN’S PETITIONS, AS WELL AS THE POTENTIAL IMPACT OF PROPOSED LEGISLATION, MAY INCREASE OUR COSTS ASSOCIATED WITH THE INTRODUCTION OR MARKETING OF OUR GENERIC PRODUCTS, COULD DELAY OR PREVENT SUCH INTRODUCTION AND/OR COULD SIGNIFICANTLY REDUCE OUR PROFIT POTENTIAL. THESE FACTORS COULD HAVE A MATERIAL ADVERSE EFFECT ON OUR BUSINESS, FINANCIAL POSITION AND RESULTS OF OPERATIONS AND COULD CAUSE THE MARKET VALUE OF OUR COMMON STOCK TO DECLINE.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5" w:right="2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competitors, both branded and generic, often pursue strategies to prevent or delay competition from generic alternatives to branded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strategies include, but are not limited to:</w:t>
      </w:r>
    </w:p>
    <w:p>
      <w:pPr>
        <w:spacing w:after="0" w:line="103" w:lineRule="exact"/>
        <w:rPr>
          <w:sz w:val="20"/>
          <w:szCs w:val="20"/>
          <w:color w:val="auto"/>
        </w:rPr>
      </w:pPr>
    </w:p>
    <w:p>
      <w:pPr>
        <w:ind w:left="1140" w:right="460" w:hanging="322"/>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into agreements whereby other generic companies will begin to market an authorized generic, a generic equivalent of a branded product, at the same time generic competition initially enters the market;</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a generic version of their own branded product at the same time generic competition initially enters the market;</w:t>
      </w:r>
    </w:p>
    <w:p>
      <w:pPr>
        <w:spacing w:after="0" w:line="117" w:lineRule="exact"/>
        <w:rPr>
          <w:rFonts w:ascii="Arial" w:cs="Arial" w:eastAsia="Arial" w:hAnsi="Arial"/>
          <w:sz w:val="18"/>
          <w:szCs w:val="18"/>
          <w:color w:val="auto"/>
        </w:rPr>
      </w:pPr>
    </w:p>
    <w:p>
      <w:pPr>
        <w:ind w:left="1140" w:right="180" w:hanging="322"/>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citizen’s petitions with the FDA or other regulatory bodies, including timing the filings so as to thwart generic competition by causing delays of our product approvals;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seeking to establish regulatory and legal obstacles that would make it more difficult to demonstrate bioequivalence;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initiating legislative efforts to limit the substitution of generic versions of brand pharmaceuticals;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suits for patent infringement that may delay regulatory approval of many generic products;</w:t>
      </w:r>
    </w:p>
    <w:p>
      <w:pPr>
        <w:spacing w:after="0" w:line="117" w:lineRule="exact"/>
        <w:rPr>
          <w:rFonts w:ascii="Arial" w:cs="Arial" w:eastAsia="Arial" w:hAnsi="Arial"/>
          <w:sz w:val="18"/>
          <w:szCs w:val="18"/>
          <w:color w:val="auto"/>
        </w:rPr>
      </w:pPr>
    </w:p>
    <w:p>
      <w:pPr>
        <w:ind w:left="1140" w:right="120" w:hanging="322"/>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introducing “next-generation” products prior to the expiration of market exclusivity for the reference product, which often materially reduces the demand for the first generic product for which we seek regulatory approval;</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obtaining extensions of market exclusivity by conducting clinical trials of brand drugs in pediatric populations or by other potential methods;</w:t>
      </w:r>
    </w:p>
    <w:p>
      <w:pPr>
        <w:spacing w:after="0" w:line="140" w:lineRule="exact"/>
        <w:rPr>
          <w:rFonts w:ascii="Arial" w:cs="Arial" w:eastAsia="Arial" w:hAnsi="Arial"/>
          <w:sz w:val="16"/>
          <w:szCs w:val="16"/>
          <w:color w:val="auto"/>
        </w:rPr>
      </w:pPr>
    </w:p>
    <w:p>
      <w:pPr>
        <w:ind w:left="1140" w:right="80" w:hanging="322"/>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persuading regulatory bodies to withdraw the approval of brand name drugs for which the patents are about to expire, thus allowing the brand name company to obtain new patented products serving as substitutes for the products withdrawn;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seeking to obtain new patents on drugs for which patent protection is about to expire.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the U.S., some companies have lobbied Congress for amendments to the Hatch-Waxman legislation that would give them additional advantages over generic competitors. For example, although the term of a company’s drug patent can be extended to reflect a portion of the time an NDA is under regulatory review, some companies have proposed extending the patent term by a full year for each year spent in clinical trials rather than the one-half year that is currently permitted.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proposals like these in the U.S., Europe or in other countries where we operate were to become effective, our entry into the market and our ability to generate revenues associated with new products may be delayed, reduced or eliminated, which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OUR COMPETITORS, INCLUDING BRANDED PHARMACEUTICAL COMPANIES, OR OTHER THIRD PARTIES, MAY ALLEGE THAT WE ARE INFRINGING THEIR INTELLECTUAL PROPERTY, FORCING US TO EXPEND SUBSTANTIAL RESOURCES IN RESULTING LITIGATION, THE OUTCOME OF WHICH IS UNCERTAIN. ANY UNFAVORABLE OUTCOME OF SUCH LITIGATION, INCLUDING IN AN “AT-RISK LAUNCH” SITUATION, COULD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Companies that produce brand pharmaceutical products routinely bring litigation against ANDA or similar applicants that seek regulatory approval to manufacture and market generic forms of their branded products. These companies allege patent infringement or other violations of intellectual property rights as the basis for filing suit against an ANDA or similar applicant. Likewise, patent holders may bring patent infringement suits against companies that are currently marketing and selling their approved generic products. Litigation often involves significant expense and can delay or prevent introduction or sale of our generic products. If patents are held valid and infringed by our products in a particular jurisdiction, we would, unless we could obtain a license from the patent holder, need to cease selling in that jurisdiction and may need to deliver up or destroy existing stock in that jurisdiction.</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There may also be situations where we use our business judgment and decide to market and sell products, notwithstanding the fact that allegations of patent infringement(s) have not been finally resolved by the courts (i.e., an “at-risk launch”). The risk involved in doing so can be substantial because the remedies available to the owner of a patent for infringement may include, among other things, damages measured by the profits lost by the patent owner and not necessarily by the profits earned by the infringer. In the case of a willful infringement, the definition of which is subjective, such damages may be increased up to three times. Moreover, because of the discount pricing typically involved with bioequivalent products, patented branded products generally realize a substantially higher profit margin than bioequivalent products. An adverse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decision in a case such as this or in other similar litigation could have a material adverse effect on our business, financial position and results of operations and could cause the market value of our common stock to decline.</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OUR SPECIALTY BUSINESS DEVELOPS, FORMULATES, MANUFACTURES OR IN-LICENSES AND MARKETS BRANDED PRODUCTS THAT ARE SUBJECT TO RISKS. THESE RISKS COULD CAUSE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branded products developed, formulated, manufactured (or alternatively, in-licensed) and marketed by our specialty business may be subject to the following risks, among others:</w:t>
      </w:r>
    </w:p>
    <w:p>
      <w:pPr>
        <w:spacing w:after="0" w:line="62" w:lineRule="exact"/>
        <w:rPr>
          <w:sz w:val="20"/>
          <w:szCs w:val="20"/>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patent life, or the loss of patent protection;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generic or similar branded products;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reimbursement rates by third-party payors;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importation by consumers;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drug development risks arising from typically greater research and development investments than generics;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unpredictability with regard to establishing a market.</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addition, developing and commercializing branded products is generally more costly than generic products. If such business expenditures do not ultimately result in the launch of commercially successful brand products, or if any of the risks above were to occur, there could be a material adverse effect on our business, financial position and results of operations and the market value of our common stock could decline.</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 RELATIVELY SMALL GROUP OF PRODUCTS MAY REPRESENT A SIGNIFICANT PORTION OF OUR REVENUES, GROSS PROFIT OR NET EARNINGS FROM TIME TO TIME. IF THE VOLUME OR PRICING OF ANY OF THESE PRODUCTS DECLINES, IT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Sales of a limited number of our products from time to time represent a significant portion of our revenues, gross profit and net earnings. For the years ended December 31, 2012 and 2011, our top ten products in terms of sales, in the aggregate, represented approximately 28% and 23%, respectively, of our consolidated total revenues. If the volume or pricing of our largest selling products declines in the future, our business, financial position and results of operations could be materially adversely affected, and the market value of our common stock could decline.</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A SIGNIFICANT PORTION OF OUR REVENUES ARE DERIVED FROM SALES TO A LIMITED NUMBER OF CUSTOMERS. ANY SIGNIFICANT REDUCTION OF BUSINESS WITH ANY OF THESE CUSTOMERS COULD HAVE A MATERIAL ADVERSE EFFECT ON OUR BUSINESS, FINANCIAL POSITION AND RESULTS OF OPERATIONS, AND THE MARKET VALUE OF OUR COMMON STOCK COULD DECLINE.</w:t>
      </w:r>
    </w:p>
    <w:p>
      <w:pPr>
        <w:spacing w:after="0" w:line="18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A significant portion of our revenues are derived from sales to a limited number of customers. If we were to experience a significant reduction in or loss of business with one such customer, or if one such customer were to experience difficulty in paying us on a timely basis, our business, financial position and results of operations could be materially adversely affected, and the market value of our common stock could decline.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years ended December 31, 2012, 2011 and 2010, sales to Cardinal Health, Inc. were approximately 14%, 13%, and 11%, respectively, and sales to McKesson Corporation were approximately 13%, 11% and 11%, respectively, of consolidated net revenues.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WE MAY EXPERIENCE DECLINES IN THE SALES VOLUME AND PRICES OF OUR PRODUCTS AS THE RESULT OF THE CONTINUING TREND TOWARD CONSOLIDATION OF CERTAIN CUSTOMER GROUPS, SUCH AS THE WHOLESALE DRUG DISTRIBUTION AND RETAIL PHARMACY INDUSTRIES, AS WELL AS THE EMERGENCE OF LARGE BUYING GROUPS. THE RESULT OF SUCH DEVELOPMENTS COULD HAVE A MATERIAL ADVERSE EFFECT ON OUR BUSINESS, FINANCIAL POSITION AND RESULTS OF OPERATIONS AND COULD CAUSE THE MARKET VALUE OF OUR COMMON STOCK TO DECLINE.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 significant amount of our sales are to a relatively small number of drug wholesalers and retail drug chains. These customers represent an essential part of the distribution chain of generic pharmaceutical products. Drug wholesalers and retail drug chains have undergone, and are continuing to undergo, significant consolidation. This consolidation may result in these groups gaining additional purchasing leverage and consequently increasing the product pricing pressures facing our business. Additionally, the emergence of large buying groups representing independent retail pharmacies and the prevalence and influence of managed care organizations and similar institutions potentially enable those groups to attempt to extract price discounts on our products. The result of these developments may have a material adverse effect on our business, financial position and results of operations and could cause the market value of our common stock to decline.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DEPEND TO A LARGE EXTENT ON THIRD-PARTY SUPPLIERS AND DISTRIBUTORS FOR THE RAW MATERIALS, PARTICULARLY THE CHEMICAL COMPOUND(S) COMPRISING THE ACTIVE PHARMACEUTICAL INGREDIENT, THAT WE USE TO MANUFACTURE OUR PRODUCTS AS WELL AS CERTAIN FINISHED GOODS. AN INTERRUPTION IN THE SUPPLY OF SUCH PRODUCTS COULD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typically purchase the active pharmaceutical ingredient (i.e., the chemical compounds that produce the desired therapeutic effect in our products) and other materials and supplies that we use in our manufacturing operations, as well as certain finished products, from many different foreign and domestic suppliers.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Additionally, we maintain safety stocks in our raw materials inventory and, in certain cases where we have listed only one supplier in our applications with regulatory agencies, have received regulatory agency approval to use alternative suppliers should the need arise. However, there is no guarantee that we will always have timely and sufficient access to a critical raw material or finished product. An interruption in the supply of a single-sourced raw material, including the active ingredient, or finished product could cause our business, financial position and results of operations to be materially adversely affected, and the market value of our common stock could decline. In addition, our manufacturing capabilities could be impacted by quality deficiencies in the products which our suppliers provide, which could have a material adverse effect on our business, financial position and results of operations, and the market value of our common stock could decline.</w:t>
      </w:r>
    </w:p>
    <w:p>
      <w:pPr>
        <w:spacing w:after="0" w:line="178"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We utilize controlled substances in certain of our current products and products in development and therefore must meet the requirements of the Controlled Substances Act of 1970 and the related regulations administered by the DEA in the U.S. as well as similar laws in other countries where we operate. These laws relate to the manufacture, shipment, storage, sale and use of controlled substances. The DEA and other regulatory agencies limit the availability of the active ingredients used in certain of our current products and products in development and, as a result, our procurement quota of these active ingredients may not be sufficient to meet commercial demand or complete clinical trials. We must annually apply to the DEA and other regulatory agencies for procurement quota in order to obtain these substances. Any delay or refusal by the DEA or such regulatory agencies in establishing our procurement quota for controlled substances could delay or stop our clinical trials or product launches, or could cause trade inventory disruptions for those products that have already been launched, which could have a material adverse effect on our business, financial position and results of operations and could cause the market value of our common stock to decline.</w:t>
      </w:r>
    </w:p>
    <w:p>
      <w:pPr>
        <w:spacing w:after="0" w:line="18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HAVE A LIMITED NUMBER OF MANUFACTURING FACILITIES AND CERTAIN THIRD PARTY SUPPLIERS PRODUCING A SUBSTANTIAL PORTION OF OUR PRODUCTS. PRODUCTION AT ANY ONE OF THESE FACILITIES COULD BE INTERRUPTED, WHICH, DEPENDING ON THE FACILITY,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substantial portion of our capacity as well as our current production is attributable to a limited number of manufacturing facilities and certain third party suppliers. A significant disruption at any one of such facilities within our internal or third party supply chain, even on a short-term basis, whether due to a labor strike, failure to reach acceptable agreement with labor and unions, adverse quality or compliance observation, act of God, civil or political unrest, or other events could impair our ability to produce and ship products to the market on a timely basis and could, among other consequences, subject us to exposure to claims from customers. Any of these events could have a material adverse effect on our business, financial position and results of operations and could cause the market value of our common stock to decline.</w:t>
      </w:r>
    </w:p>
    <w:p>
      <w:pPr>
        <w:spacing w:after="0" w:line="193"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b w:val="1"/>
          <w:bCs w:val="1"/>
          <w:i w:val="1"/>
          <w:iCs w:val="1"/>
          <w:color w:val="auto"/>
        </w:rPr>
        <w:t>BECAUSE THE PHARMACEUTICAL INDUSTRY IS HEAVILY REGULATED, WE FACE SIGNIFICANT COSTS AND UNCERTAINTIES ASSOCIATED WITH OUR EFFORTS TO COMPLY WITH APPLICABLE REGULATIONS. SHOULD WE FAIL TO COMPLY, WE COULD EXPERIENCE MATERIAL ADVERSE EFFECTS ON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AND RESULTS OF OPERATIONS, AND THE MARKET VALUE OF OUR COMMON STOCK COULD DECLINE.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pharmaceutical industry is subject to regulation by various governmental authorities. For instance, we must comply with requirements of the FDA and similar requirements of similar agencies in our other markets with respect to the research, development, manufacture, quality, safety, labeling, sale, distribution, marketing, advertising, promotion and development of pharmaceutical products. Failure to comply with regulations of the FDA and other regulators could result in fines, disgorgement, unanticipated compliance expenditures, rejection or delay in approval of applications, recall or seizure of products, total or partial suspension of production and/or distribution, our inability to sell products, the return by customers of our products, suspension of the applicable regulator’s review of our submissions, enforcement actions, injunctions and criminal prosecution. Under certain circumstances, the regulators may also have the authority to revoke previously granted drug approvals. Although we have internal regulatory compliance programs and policies and have had a favorable compliance history, in all material respects, there is no guarantee that these programs, as currently designed, will meet regulatory agency standards in the future. Additionally, despite our efforts at compliance, from time to time we receive notices of observations of FDA inspections as well as official agency correspondence regarding compliance. There is also no guarantee that we may not be deemed to be deficient in some manner in the future. If we were deemed to be deficient in any significant way, or if any of the noted risks occur, our business, financial position and results of operations could be materially affected and the market value of our common stock could decline.</w:t>
      </w:r>
    </w:p>
    <w:p>
      <w:pPr>
        <w:spacing w:after="0" w:line="180"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In Europe we must also comply with regulatory requirements with respect to the manufacture, labeling, sale, distribution, marketing, advertising, promotion and development of pharmaceutical products. Some of these requirements are contained in EU regulations and governed by the EMA. Other requirements are set down in national laws and regulations of the EU Member States. Failure to comply with the regulations can result in a range of fines, penalties, product recalls/suspensions or even criminal liability. Similar laws and regulations exist in most of the markets in which we operate.</w:t>
      </w:r>
    </w:p>
    <w:p>
      <w:pPr>
        <w:spacing w:after="0" w:line="15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to the new drug approval process, government agencies also regulate the facilities and operational procedures that we use to manufacture our products. We must register our facilities with the FDA and other similar regulators. Products manufactured in our facilities must be made in a manner consistent with current good manufacturing practices or similar standards in each territory in which we manufacture. Compliance with such regulations requires substantial expenditures of time, money and effort in such areas as production and quality control to ensure full technical compliance. The FDA and other agencies periodically inspect our manufacturing facilities for compliance. Regulatory approval to manufacture a drug is site-specific. Failure to comply with good manufacturing practices and other regulatory standards at one of our manufacturing facilities could result in an enforcement action brought by the FDA or other regulatory bodies which could include withholding or withdrawing the approval of our submissions or other product applications of that facility, discontinuation of manufacture, recalls, or other adverse actions. If any regulatory body were to withhold or withdraw approval of an application, or require a recall or other adverse product action, or require one of our manufacturing facilities to cease or limit production, our business could be adversely affected. Delay and cost in obtaining FDA or other regulatory approval to manufacture at a different facility also could have a material adverse effect on our business, financial position and results of operations and could cause the market value of our common stock to decline.</w:t>
      </w:r>
    </w:p>
    <w:p>
      <w:pPr>
        <w:spacing w:after="0" w:line="17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also must comply with data protection and data privacy requirements in many countries. Compliance with these laws, rules and regulations regarding privacy, security and protection of employee data could result in higher compliance and technology costs for the Company, as well as significant fines, penalties and damage to our global reputation and our brand as a result of non-compliance.</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subject, as are generally all manufacturers, to various federal, state and local laws regulating working conditions, as well as environmental protection laws and regulations, including those governing the discharge of materials into the environment and those related to climate change. Although we have not incurred significant costs associated with complying with such environmental provisions in the past, if changes to such environmental laws and regulations are made in the future that require significant changes in our operations or if we engage in the development and manufacturing of new products requiring new or different environmental or other controls, or if we are found to have violated any applicable rules, we may be required to expend significant funds. Such changes could have a material adverse effect on our business, financial position and results of operations and could cause the market value of our common stock to decline.</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OUR REPORTING AND PAYMENT OBLIGATIONS UNDER THE MEDICARE AND/OR MEDICAID REBATE PROGRAM AND OTHER GOVERNMENTAL PURCHASING AND REBATE PROGRAMS ARE COMPLEX AND MAY INVOLVE SUBJECTIVE DECISIONS THAT COULD CHANGE AS A RESULT OF NEW BUSINESS CIRCUMSTANCES, NEW REGULATORY GUIDANCE, OR ADVICE OF LEGAL COUNSEL. ANY DETERMINATION OF FAILURE TO COMPLY WITH THOSE OBLIGATIONS COULD SUBJECT US TO PENALTIES AND SANCTIONS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WHICH COULD HAVE A MATERIAL ADVERSE EFFECT ON OUR BUSINESS, FINANCIAL POSITION AND RESULTS OF OPERATIONS, AND THE MARKET VALUE OF OUR COMMON STOCK COULD DECLINE.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regulations regarding reporting and payment obligations with respect to Medicare and/or Medicaid reimbursement and rebates and other governmental programs are complex. Because our processes for these calculations and the judgments involved in making these calculations involve, and will continue to involve, subjective decisions and complex methodologies, these calculations are subject to the risk of errors. In addition, they are subject to review and challenge by the applicable governmental agencies, and it is possible that such reviews could result in material changes. The Patient Protection and Affordable Care Act (“PPACA”) of 2010 includes a provision requiring the Centers for Medicare and Medicaid Services (“CMS”) to publish a weighted average Average Manufacturer Price (“AMP”) for all multi-source drugs. The provision was effective October 1, 2010; however, weighted average AMP’s have not yet been published by CMS, except in draft form, and have not been implemented for use in the calculation of Federal Upper Limits (“FULs”). Although the weighted average AMP would not reveal Mylan’s individual AMP, publishing a weighted average AMP available to customers and the public at large could negatively affect our leverage in commercial price negotiations.</w:t>
      </w:r>
    </w:p>
    <w:p>
      <w:pPr>
        <w:spacing w:after="0" w:line="182"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In addition, as also disclosed herein, a number of state and federal government agencies are conducting investigations of manufacturers’ reporting practices with respect to Average Wholesale Prices (“AWP”) in which they have suggested that reporting of inflated AWP has led to excessive payments for prescription drugs. We and numerous other pharmaceutical companies have been named as defendants in various actions relating to pharmaceutical pricing issues and whether allegedly improper actions by pharmaceutical manufacturers led to excessive payments by Medicare and/or Medicaid.</w:t>
      </w:r>
    </w:p>
    <w:p>
      <w:pPr>
        <w:spacing w:after="0" w:line="15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Any governmental agencies that have commenced, or may commence, an investigation of Mylan relating to the sales, marketing, pricing, quality, or manufacturing of pharmaceutical products could seek to impose, based on a claim of violation of fraud and false claims laws or otherwise, civil and/or criminal sanctions, including fines, penalties and possible exclusion from federal health care programs including Medicare and/or Medicaid. Some of the applicable laws may impose liability even in the absence of specific intent to defraud. Furthermore, should there be ambiguity with regard to how to properly calculate and report payments — and even in the absence of any such ambiguity — a governmental authority may take a position contrary to a position we have taken, and may impose civil and/or criminal sanctions. Any such penalties or sanctions could have a material adverse effect on our business, financial position and results of operations and could cause the market value of our common stock to decline.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WE MAY EXPERIENCE REDUCTIONS IN THE LEVELS OF REIMBURSEMENT FOR PHARMACEUTICAL PRODUCTS BY GOVERNMENTAL AUTHORITIES, HMOS OR OTHER THIRD-PARTY PAYORS. IN ADDITION, THE USE OF TENDER SYSTEMS COULD REDUCE PRICES FOR OUR PRODUCTS OR REDUCE OUR MARKET OPPORTUNITIES. ANY SUCH REDUCTIONS COULD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Various governmental authorities (including the U.K. National Health Service and the German statutory health insurance scheme) and private health insurers and other organizations, such as health maintenance organizations (“HMOs”) in the U.S., provide reimbursements or subsidies to consumers for the cost of certain pharmaceutical products. Demand for our products depends in part on the extent to which such reimbursement is available. In the U.S., third-party payors increasingly challenge the pricing of pharmaceutical products. This trend and other trends toward the growth of HMOs, managed health care and legislative health care reform create significant uncertainties regarding the future levels of reimbursement for pharmaceutical products. Further, any reimbursement may be reduced in the future, perhaps to the point that market demand for our products declines. Such a decline could have a material adverse effect on our business, financial position and results of operations and could cause the market value of our common stock to decline.</w:t>
      </w:r>
    </w:p>
    <w:p>
      <w:pPr>
        <w:spacing w:after="0" w:line="16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addition, a number of markets in which we operate have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Certain other countries may consider the implementation of a tender system. Even if a tender system is ultimately not implemented, the anticipation of such could result in price reductions. Failing to win tenders, or the implementation of similar systems in other markets leading to further price declines, could have a material adverse effect on our business, financial position and results of operations and could cause the market value of our common stock to decline.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LEGISLATIVE OR REGULATORY PROGRAMS THAT MAY INFLUENCE PRICES OF PHARMACEUTICAL PRODUCTS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Current or future federal, state or foreign laws and regulations may influence the prices of drugs and, therefore, could adversely affect the prices that we receive for our products. For example, programs in existence in certain states in the U.S. seek to set prices of all drugs sold within those states through the regulation and administration of the sale of prescription drugs. Expansion of these programs, in particular state Medicare and/or Medicaid programs, or changes required in the way in which Medicare and/or Medicaid rebates are calculated under such programs, could adversely affect the prices we receive for our products and could have a material adverse effect on our business, financial position and results of operations and could cause the market value of our common stock to decline.</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order to control expenditure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Several countries in which we operate have implemented, or plan to implement, government mandated price reductions. When such price cuts occur, pharmaceutical companies have generally experienced significant declines in revenues and profitability and uncertainties continue to exist within the market. Such price reductions could have an adverse effect on our business, and as uncertainties are resolved or if other countries in which we operate enact similar measures, they could have a further material adverse effect on our business, financial position and results of operations and could cause the market value of our common stock to decline.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HEALTH CARE REFORM LEGISLATION COULD HAVE A MATERIAL ADVERSE EFFECT ON OUR BUSINESS, FINANCIAL POSITION AND RESULTS OF OPERATIONS AND COULD CAUSE THE MARKET VALUE OF OUR COMMON STOCK TO DECLINE.</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recent years, there have been numerous initiatives on the federal and state levels for comprehensive reforms affecting the payment for, the availability of and reimbursement for health care services in the U.S., and it is likely that federal and state legislatures and health agencies will continue to focus on health care reform in the future. The PPACA and The Health Care and Education and Reconciliation Act of 2010 (H.R. 4872), which amends the PPACA (collectively the “Health Reform Laws”), were signed into law in March 2010. While the Health Reform Laws may increase the number of patients who have insurance coverage for our products, they also include provisions such as the assessment of a pharmaceutical manufacturer fee and an increase in the amount of rebates that manufacturers pay for coverage of their drugs by Medicaid programs.</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unable to predict the future course of federal or state health care legislation. The Health Reform Laws and further changes in the law or regulatory framework that reduce our revenues or increase our costs could also have a material adverse effect on our business, financial condition and results of operations and cash flows, and could cause the market value of our common stock to decline.</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Additionally, we encounter similar regulatory and legislative issues in most other countries. In the EU and some other international markets, the government provides health care at low cost to consumers and regulates pharmaceutical prices, patient eligibility or reimbursement levels to control costs for the government-sponsored health care system. This international system of price regulations may lead to inconsistent prices. Within the EU and in other countries, the availability of our products in some markets at lower prices undermines our sales in some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 border trade.</w:t>
      </w:r>
    </w:p>
    <w:p>
      <w:pPr>
        <w:spacing w:after="0" w:line="18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If significant additional reforms are made to the U.S. health care system, or to the health care systems of other markets in which we operate, those reforms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INVOLVED IN VARIOUS LEGAL PROCEEDINGS AND CERTAIN GOVERNMENT INQUIRIES AND MAY EXPERIENCE UNFAVORABLE OUTCOMES OF SUCH PROCEEDINGS OR INQUIRIES, WHICH COULD HAVE A MATERIAL ADVERSE EFFECT ON OUR BUSINESS, FINANCIAL POSITION AND RESULTS OF OPERATIONS AND COULD CAUSE THE MARKET VALUE OF OUR COMMON STOCK TO DECLINE.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or may be involved in various legal proceedings and certain government inquiries, including, but not limited to, patent infringement, product liability, antitrust matters, breach of contract and claims involving Medicare and/or Medicaid reimbursements, or laws relating to sales and marketing practices, some of which are described in our periodic reports, that involve claims for, or the possibility of fines and penalties involving substantial amounts of money or other relief, including but not limited to civil or criminal fines and penalties and exclusion from participation in various government health-care-related programs. If any of these legal proceedings or inquiries were to result in an adverse outcome, the impact could have a material adverse effect on our business, financial position and results of operations and could cause the market value of our common stock to decline.</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respect to product liability, we maintain a combination of self-insurance (including through our wholly owned captive insurance subsidiary) and commercial insurance to protect against and manage a portion of the risks involved in conducting our business. Although we carry insurance, we believe that no reasonable amount of insurance can fully protect against all such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position and results of operations and could cause the market value of our common stock to decline.</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in limited circumstances, entities we acquired in the acquisition of the former Merck Generics business are party to litigation in matters under which we are entitled to indemnification by Merck KGaA. However, there are risks inherent in such indemnities and, accordingly, there can be no assurance that we will receive the full benefits of such indemnification, which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THE INTERCOMPANY TERMS OF CROSS BORDER ARRANGEMENTS WE HAVE AMONG OUR SUBSIDIARIES ARE DETERMINED TO BE INAPPROPRIATE, OUR TAX LIABILITY MAY INCREASE, WHICH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potential tax exposures resulting from the varying application of statutes, regulations and interpretations which include exposures on intercompany terms of cross border arrangements among our subsidiaries in relation to various aspects of our business, including manufacturing, marketing, sales and delivery functions. Although we believe our cross border arrangements between affiliates are based upon internationally accepted standards, tax authorities in various jurisdictions may disagree with and subsequently challenge the amount of profits taxed in their country, which may result in increased tax liability, including accrued interest and penalties, which would cause our tax expense to increase. This could have a material adverse effect on our business, financial position and results of operations and could cause the market value of our common stock to decline.</w:t>
      </w:r>
    </w:p>
    <w:p>
      <w:pPr>
        <w:spacing w:after="0" w:line="1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are subject to income taxes in the U.S. and many foreign jurisdictions. Significant judgment is required in determining our worldwide provision for income taxes. In the ordinary course of business, there are many transactions and calculations where the ultimate tax determination is uncertain. The final determination of any tax audits or related litigation could be materially different from our historical income tax provisions and accruals.</w:t>
      </w:r>
    </w:p>
    <w:p>
      <w:pPr>
        <w:spacing w:after="0" w:line="14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Additionally, changes in the effective tax rate as a result of a change in the mix of earnings in countries with differing statutory tax rates, changes in our overall profitability, changes in the valuation of deferred tax assets and liabilities, the results of audits and the examination of previously filed tax returns by taxing authorities and continuing assessments of our tax exposures could impact our tax liabilities and affect our income tax expense, which could have a material adverse effect on our business, financial position and results of operations and could cause the market value of our common stock to decline.</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INCOME TAX LAWS AND TAX RULINGS MAY HAVE A SIGNIFICANTLY ADVERSE IMPACT ON OUR EFFECTIVE TAX RATE AND INCOME TAX EXPENSE, WHICH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Potential changes to income tax laws in the United States include measures which would defer the deduction of interest expense related to deferred income; determine the foreign tax credit on a pooling basis; tax currently excess returns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5" w:right="3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associated with transfers of intangibles offshore; and limit earnings stripping by expatriated entities. In addition, proposals were made to encourage manufacturing in the U.S., including reduced rates of tax and increased deductions related to manufacturing. We cannot determine whether these proposals will be modified or enacted, whether other proposals unknown at this time will be made or the extent to which the corporate tax rate might be reduced and ameliorate the adverse impact of some of these proposals. If enacted, and depending on its precise terms, such legislation could materially increase our overall effective income tax rate and income tax expense. This could have a material adverse effect on our business, financial position and results of operations and could cause the market value of our common stock to decline.</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MAY DECIDE TO SELL ASSETS, WHICH COULD ADVERSELY AFFECT OUR PROSPECTS AND OPPORTUNITIES FOR GROWTH, AND WHICH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from time to time consider selling certain assets if (a) we determine that such assets are not critical to our strategy, or (b) we believe the opportunity to monetize the asset is attractive or for various reasons including we want to reduce indebtedness. We have explored and will continue to explore the sale of certain non-core assets. Although our intention is to engage in asset sales only if they advance our overall strategy, any such sale could reduce the size or scope of our business, our market share in particular markets or our opportunities with respect to certain markets, products or therapeutic categories. As a result, any such sale could have an adverse effect on our business, prospects and opportunities for growth, financial position and results of operations and could cause the market value of our common stock to decline.</w:t>
      </w:r>
    </w:p>
    <w:p>
      <w:pPr>
        <w:spacing w:after="0" w:line="17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b w:val="1"/>
          <w:bCs w:val="1"/>
          <w:i w:val="1"/>
          <w:iCs w:val="1"/>
          <w:color w:val="auto"/>
        </w:rPr>
        <w:t>WE HAVE SIGNIFICANT INDEBTEDNESS WHICH COULD ADVERSELY EFFECT OUR FINANCIAL POSTION AND PREVENT US FROM FULFILLING OUR OBLIGATIONS UNDER SUCH INDEBTEDNESS. ANY REFINANCING OF THIS DEBT COULD BE AT SIGNIFICANTLY HIGHER INTEREST RATES. OUR SUBSTANTIAL INDEBTEDNESS COULD LEAD TO ADVERSE CONSEQUENCES THAT MAY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level of indebtedness could have important consequences, including but not limited to:</w:t>
      </w:r>
    </w:p>
    <w:p>
      <w:pPr>
        <w:spacing w:after="0" w:line="117" w:lineRule="exact"/>
        <w:rPr>
          <w:sz w:val="20"/>
          <w:szCs w:val="20"/>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1140" w:right="360" w:hanging="322"/>
        <w:spacing w:after="0" w:line="342"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make debt service payments,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140" w:right="60" w:hanging="322"/>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our working capital, capital expenditures, acquisitions and debt service requirements and other financing needs;</w:t>
      </w:r>
    </w:p>
    <w:p>
      <w:pPr>
        <w:spacing w:after="0" w:line="62" w:lineRule="exact"/>
        <w:rPr>
          <w:rFonts w:ascii="Arial" w:cs="Arial" w:eastAsia="Arial" w:hAnsi="Arial"/>
          <w:sz w:val="18"/>
          <w:szCs w:val="18"/>
          <w:color w:val="auto"/>
        </w:rPr>
      </w:pPr>
    </w:p>
    <w:p>
      <w:pPr>
        <w:ind w:left="1140" w:right="140" w:hanging="322"/>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increases in interest rates in general because a substantial portion of our indebtedness bears interest at floating rates;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to our competitors that have less debt.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ability to service our indebtedness will depend on our future operating performance and financial results, which will be subject, in part, to factors beyond our control, including interest rates and general economic, financial and business conditions. If we do not have sufficient cash flow to service our indebtedness, we may need to refinance all or part of our existing indebtedness, borrow more money or sell securities, some or all of which may not be available to us at acceptable terms or at all. In addition, we may need to incur additional indebtedness in the future in the ordinary course of business. Although the terms of our Senior Credit Agreement and our bond indentures allow us to incur additional debt, this is subject to certain limitations which may preclude us from incurring the amount of indebtedness we otherwise desire.</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if we incur additional debt, the risks described above could intensify. If global credit markets return to their recent levels of contraction, future debt financing may not be available to us when required or may not be available on acceptable terms, and as a result we may be unable to grow our business, take advantage of business opportunities, respond to competitive pressures or satisfy our obligations under our indebtedness. Any of the foregoing could have a material adverse effect on our business, financial position and results of operations and could cause the market value of our common stock to decline.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credit facilities, senior unsecured notes, securitization facility,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restricting our subsidiaries’ ability to pay dividends, merge or consolidate. In addition, our Senior Credit Agreement requires us to maintain specified financial ratios.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position and results of operations and could cause the market value of our common stock to decline.</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THE TOTAL AMOUNT OF INDEBTEDNESS RELATED TO OUR OUTSTANDING CASH CONVERTIBLE NOTES DUE 2015 (THE “CASH CONVERTIBLE NOTES”) WILL INCREASE IF OUR STOCK PRICE INCREASES. ALSO, WE HAVE ENTERED INTO NOTE HEDGES AND WARRANT TRANSACTIONS IN CONNECTION WITH THE CASH CONVERTIBLE NOTES IN ORDER TO HEDGE SOME OF THE RISK ASSOCIATED WITH THE POTENTIAL INCREASE OF INDEBTEDNESS AND SETTLEMENT VALUE. SUCH TRANSACTIONS HAVE BEEN CONSUMMATED WITH CERTAIN COUNTERPARTIES, MAINLY HIGHLY RATED FINANCIAL INSTITUTIONS. ANY INCREASE IN INDEBTEDNESS, NET EXPOSURE RELATED TO THE RISK OR FAILURE OF ANY COUNTERPARTIES TO PERFORM THEIR OBLIGATIONS, COULD HAVE ADVERSE EFFECTS ON US, INCLUDING UNDER OUR DEBT AGREEMENTS, AND COULD HAVE A MATERIAL ADVERSE EFFECT ON OUR BUSINESS, FINANCIAL POSITION AND RESULTS OF OPERATIONS AND COULD CAUSE THE MARKET VALUE OF OUR COMMON STOCK TO DECLINE.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Under applicable accounting rules, the cash conversion feature that is a term of the Cash Convertible Notes must be recorded as a liability on our balance sheet and periodically marked to fair value. If our stock price increases, the liability associated with the cash conversion feature would increase and, because this liability must be periodically marked to fair value on our balance sheet, the total amount of indebtedness related to the notes that is shown on our balance sheet would also increase. This could have adverse effects on us, including under any future debt agreements that contain covenants based on a definition of total indebtedness as defined under accounting principles generally accepted in the United States of America (“GAAP”). As a result, we may not be able to comply with such covenants in the future, which could, among other things, restrict our ability to grow our business, take advantage of business opportunities or respond to competitive pressures. Any of the foregoing could have a material adverse effect on our business, financial position and results of operations and could cause the market value of the notes and our common stock to decline.</w:t>
      </w:r>
    </w:p>
    <w:p>
      <w:pPr>
        <w:spacing w:after="0" w:line="179"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In connection with the issuance of the Cash Convertible Notes, we entered into note hedge and warrant transactions with certain financial institutions, each of which we refer to as a counterparty. The Cash Convertible Note hedge is comprised of purchased cash-settled call options that are expected to reduce our exposure to potential cash payments required to be made by us upon the cash conversion of the notes. We have also entered into respective warrant transactions with the counterparties pursuant to which we will have sold to each counterparty warrants for the purchase of shares of our common stock. Together, each of the note hedges and warrant transactions are expected to provide us with some protection against increases in our stock price over the conversion price per share. However, there is no assurance that these transactions will remain in effect at all times. Also, although we believe the counterparties are highly rated financial institutions, there are no assurances that the counterparties will be able to perform their respective obligations under the agreement we have with each of them. Any net exposure related to conversion of the notes or any failure of the counterparties to perform their obligations under the agreements we have with them could have a material adverse effect on our business, financial position and results of operations and could cause the market value of our common stock to decline.</w:t>
      </w:r>
    </w:p>
    <w:p>
      <w:pPr>
        <w:spacing w:after="0" w:line="16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ANY FUTURE ACQUISITIONS OR DIVESTITURES WOULD INVOLVE A NUMBER OF INHERENT RISKS. THESE RISKS COULD CAUSE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may continue to seek to expand our product line through complementary or strategic acquisitions of other companies, products or assets, including those in rapidly developing economies, or through joint ventures, licensing agreements or other arrangements or may determine to divest certain products or assets. Any such acquisitions, joint ventures or other business combinations may involve significant challenges in integrating the new company’s operations, and divestitures could be equally challenging. Either process may prove to be complex and time consuming and require substantial resources and effort. It may also disrupt our ongoing businesses, which may adversely affect our relationships with customers, employees, regulators and others with whom we have business or other dealings.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may be unable to realize synergies or other benefits, including tax savings, expected to result from any acquisitions, joint ventures or other transactions or investments we may undertake, or be unable to generate additional revenue to offset any unanticipated inability to realize these expected synergies or benefits. Realization of the anticipated benefits of acquisitions or other transactions could take longer than expected, and implementation difficulties, unforeseen expenses, complications and delays, market factors or deterioration in domestic and global economic conditions could alter the anticipated benefits of any such transactions. We may also compete for certain acquisition targets with companies having greater financial resources than us or other advantages over us that may prevent us from acquiring a target. We also may inherit legal, regulatory and other risks that accrued prior to the acquisition, whether known or unknown to us. These factors could impair our growth and ability to compete, require us to focus additional resources on integration of operations rather than other profitable areas, or otherwise cause a material adverse effect on our business, financial position and results of operations and could cause the market value of our common stock to decline.</w:t>
      </w:r>
    </w:p>
    <w:p>
      <w:pPr>
        <w:spacing w:after="0" w:line="182"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b w:val="1"/>
          <w:bCs w:val="1"/>
          <w:i w:val="1"/>
          <w:iCs w:val="1"/>
          <w:color w:val="auto"/>
        </w:rPr>
        <w:t>WE ENTER INTO VARIOUS AGREEMENTS IN THE NORMAL COURSE OF BUSINESS WHICH PERIODICALLY INCORPORATE PROVISIONS WHEREBY WE INDEMNIFY THE OTHER PARTY TO THE AGREEMENT. IN THE EVENT THAT WE WOULD HAVE TO PERFORM UNDER THESE INDEMNIFICATION PROVISIONS, IT COULD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the normal course of business, we periodically enter into employment, legal settlement, and other agreements which incorporate indemnification provisions. We maintain insurance coverage which we believe will effectively mitigate our obligations under certain of these indemnification provisions. However, should our obligation under an indemnification provision exceed our coverage or should coverage be denied, our business, financial position and results of operations could be materially adversely affected and the market value of our common stock could decline.</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FUTURE SUCCESS IS HIGHLY DEPENDENT ON OUR CONTINUED ABILITY TO ATTRACT AND RETAIN KEY PERSONNEL. ANY FAILURE TO ATTRACT AND RETAIN KEY PERSONNEL COULD HAVE A MATERIAL ADVERSE EFFECT ON OUR BUSINESS, FINANCIAL POSITION AND RESULTS OF OPERATIONS AND COULD CAUSE THE MARKET VALUE OF OUR COMMON STOCK TO DECLINE.</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important that we attract and retain qualified personnel in order to develop new products and compete effectively. If we fail to attract and retain key scientific, technical or management personnel, our business could be affected adversely. Additionally, while we have employment agreements with certain key employees in place, their employment for the duration of the agreement is not guaranteed. If we are unsuccessful in retaining our key employees, it could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WE ARE IN THE PROCESS OF ENHANCING AND FURTHER DEVELOPING OUR GLOBAL ENTERPRISE RESOURCE PLANNING SYSTEMS AND ASSOCIATED BUSINESS APPLICATIONS. AS WITH ANY ENHANCEMENTS OF SIGNIFICANT SYSTEMS, DIFFICULTIES ENCOUNTERED COULD RESULT IN BUSINESS INTERRUPTIONS, AND COULD HAVE A MATERIAL ADVERSE EFFECT ON OUR BUSINESS, FINANCIAL POSITION AND RESULTS OF OPERATIONS AND COULD CAUSE THE MARKET VALUE OF OUR COMMON STOCK TO DECLINE.</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are enhancing and further developing our global enterprise resource planning (“ERP”) systems and associated applications to provide more operating efficiencies and effective management of our business operations. Such changes to ERP systems and related software carry risks such as cost overruns, project delays and business interruptions and delays. If we experience a material business interruption as a result of our ERP enhancements, it could have a material adverse effect on our business, financial position and results of operations and could cause the market value of our common stock to decline.</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LEAKAGE RISKS. THESE RISKS COULD CAUSE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increasingly dependent on information technology systems and infrastructure.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 attack, such as an infiltration of a data center, or data leakage of confidential information either internally or at our third-party providers. While we have invested heavily in the protection of</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data and information technology to reduce these risks, there can be no assurance that our efforts will prevent breakdowns or breaches. If we experience such a breach or breakdown, it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EXPANSION OF SOCIAL MEDIA PLATFORMS PRESENT NEW RISKS AND CHALLENGES. THESE RISKS COULD CAUSE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inappropriate use of certain media vehicles could cause brand damage or information leakage or could lead to legal implications from the improper collection and/or dissemination of personally identifiable information. In addition, negative posts or comments about us on any social networking web site could seriously damage our reputation. Further, the disclosure of non-public company sensitive information through external media channels could lead to information loss as there might not be structured processes in place to secure and protect information. If our non-public sensitive information is disclosed or if our reputation is seriously damaged through social media, it could have a material adverse effect on our business, financial position and results of operations and could cause the market value of our common stock to decline.</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MUST MAINTAIN ADEQUATE INTERNAL CONTROLS AND BE ABLE, ON AN ANNUAL BASIS, TO PROVIDE AN ASSERTION AS TO THE EFFECTIVENESS OF SUCH CONTROLS. FAILURE TO MAINTAIN ADEQUATE INTERNAL CONTROLS OR TO IMPLEMENT NEW OR IMPROVED CONTROLS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internal controls are necessary for Mylan to provide reasonable assurance with respect to its financial reports. We are spending a substantial amount of management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If we fail to maintain the adequacy of our 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position and results of operations, and the market value of our common stock could decline.</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THERE ARE INHERENT UNCERTAINTIES INVOLVED IN ESTIMATES, JUDGMENTS AND ASSUMPTIONS USED IN THE PREPARATION OF FINANCIAL STATEMENTS IN ACCORDANCE WITH GAAP. ANY FUTURE CHANGES IN ESTIMATES, JUDGMENTS AND ASSUMPTIONS USED OR NECESSARY REVISIONS TO PRIOR ESTIMATES, JUDGMENTS OR ASSUMPTIONS OR CHANGES IN ACCOUNTING STANDARDS COULD LEAD TO A RESTATEMENT OR REVISION TO PREVIOUSLY CONSOLIDATED FINANCIAL STATEMENTS, WHICH COULD HAVE A MATERIAL ADVERSE EFFECT ON OUR BUSINESS, FINANCIAL POSITION AND RESULTS OF OPERATIONS AND COULD CAUSE THE MARKET VALUE OF OUR COMMON STOCK TO DECLINE.</w:t>
      </w:r>
    </w:p>
    <w:p>
      <w:pPr>
        <w:spacing w:after="0" w:line="19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Consolidated and Condensed Consolidated Financial Statements included in the periodic reports we file with the SEC are prepared in accordance with GAAP. The preparation of financial statements in accordance with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litigation related contingencies based on estimates of probable future costs, such litigation related contingencies could result in substantial further costs. Also, any new or revised accounting standards may require adjustments to previously issued financial statements. Any such changes could result in corresponding changes to the amounts of liabilities, revenues, expenses and income. Any such changes could have a material adverse effect on our business, financial position and results of operations and could cause the market value of our common stock to decline.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b w:val="1"/>
          <w:bCs w:val="1"/>
          <w:i w:val="1"/>
          <w:iCs w:val="1"/>
          <w:color w:val="auto"/>
        </w:rPr>
        <w:t>CHARGES TO EARNINGS RESULTING FROM ACQUISITIONS COULD HAVE A MATERIAL ADVERSE EFFECT ON OUR BUSINESS, FINANCIAL POSITION AND RESULTS OF OPERATIONS AND COULD CAUSE THE MARKET VALUE OF OUR COMMON STOCK TO DECLINE.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GAAP business combination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85" w:lineRule="exact"/>
        <w:rPr>
          <w:sz w:val="20"/>
          <w:szCs w:val="20"/>
          <w:color w:val="auto"/>
        </w:rPr>
      </w:pPr>
    </w:p>
    <w:p>
      <w:pPr>
        <w:ind w:left="1140" w:right="76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goodwill or intangible assets, including acquired in-process research and development;</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117" w:lineRule="exact"/>
        <w:rPr>
          <w:rFonts w:ascii="Arial" w:cs="Arial" w:eastAsia="Arial" w:hAnsi="Arial"/>
          <w:sz w:val="18"/>
          <w:szCs w:val="18"/>
          <w:color w:val="auto"/>
        </w:rPr>
      </w:pPr>
    </w:p>
    <w:p>
      <w:pPr>
        <w:ind w:left="1140" w:right="180" w:hanging="322"/>
        <w:spacing w:after="0" w:line="312"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identification of or changes to assumed contingent liabilities, including, but not limited to, contingent purchase price consideration, income tax contingencies and other non-income tax contingencies, after our final determination of the amounts for these contingencies or the conclusion of the measurement period (generally up to one year from the acquisition date), whichever comes first;</w:t>
      </w:r>
    </w:p>
    <w:p>
      <w:pPr>
        <w:spacing w:after="0" w:line="38" w:lineRule="exact"/>
        <w:rPr>
          <w:rFonts w:ascii="Arial" w:cs="Arial" w:eastAsia="Arial" w:hAnsi="Arial"/>
          <w:sz w:val="16"/>
          <w:szCs w:val="16"/>
          <w:color w:val="auto"/>
        </w:rPr>
      </w:pPr>
    </w:p>
    <w:p>
      <w:pPr>
        <w:ind w:left="1140" w:right="20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charges to our operating results to eliminate certain duplicative pre-acquisition activities, to restructure our operations or to reduce our cost structure;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contingent consideration liabilities, including accretion and fair value adjustments.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 significant portion of these adjustments could be accounted for as expenses that will decrease our net income and earnings per share for the periods in which those costs are incurred. Such charges could cause a material adverse effect on our business, financial position and results of operations and could cause the market value of the common stock to decline.</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jc w:val="center"/>
        <w:ind w:right="9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Company’s corporate headquarters is located in Canonsburg, Pennsylvania. At December 31, 2012, we owned six production, distribution and warehousing facilities in the U.S. and Puerto Rico. Our major production and distribution sites include Morgantown, West Virginia; Greensboro, North Carolina; Caguas, Puerto Rico; and St. Albans, Vermont. The Company also maintains an administrative office for Mylan Specialty in Basking Ridge, New Jersey.</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own production, distribution and warehousing facilities in eight countries outside the U.S. and Puerto Rico, which include major production and distribution facilities in India, Ireland, Australia and Japan.</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Our U.S. research and development facilities are primarily located in Morgantown, West Virginia. Our principal international research and development facilities are located in Ireland and India, with additional sites in the U.K. and Japan.</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also leases warehousing, distribution and administrative facilities in numerous locations, both within and outside of the U.S., including properties in New York, France, India and the U.K.</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believe that all facilities are in good operating condition, the machinery and equipment are well-maintained, the facilities are suitable for their intended purposes and they have capacities adequate for the current operations.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5" w:right="31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information regarding legal proceedings, refer to Note 15, “Contingencies,” in the accompanying Notes to Consolidated Financial Statements in this Annual Report.</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common stock is traded on the NASDAQ Stock Market under the symbol “MYL.” The following table sets forth the quarterly high and low sales prices for our common stock for the periods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December 31, 2012</w:t>
            </w: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20.37</w:t>
            </w:r>
          </w:p>
        </w:tc>
      </w:tr>
      <w:tr>
        <w:trPr>
          <w:trHeight w:val="243"/>
        </w:trPr>
        <w:tc>
          <w:tcPr>
            <w:tcW w:w="9260" w:type="dxa"/>
            <w:vAlign w:val="bottom"/>
            <w:gridSpan w:val="4"/>
          </w:tcPr>
          <w:p>
            <w:pPr>
              <w:ind w:left="40"/>
              <w:spacing w:after="0"/>
              <w:rPr>
                <w:sz w:val="20"/>
                <w:szCs w:val="20"/>
                <w:color w:val="auto"/>
              </w:rPr>
            </w:pPr>
            <w:r>
              <w:rPr>
                <w:rFonts w:ascii="Arial" w:cs="Arial" w:eastAsia="Arial" w:hAnsi="Arial"/>
                <w:sz w:val="18"/>
                <w:szCs w:val="18"/>
                <w:color w:val="auto"/>
              </w:rPr>
              <w:t>Three months ended June 30, 2012</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20.21</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r>
      <w:tr>
        <w:trPr>
          <w:trHeight w:val="243"/>
        </w:trPr>
        <w:tc>
          <w:tcPr>
            <w:tcW w:w="9260" w:type="dxa"/>
            <w:vAlign w:val="bottom"/>
            <w:gridSpan w:val="4"/>
          </w:tcPr>
          <w:p>
            <w:pPr>
              <w:ind w:left="40"/>
              <w:spacing w:after="0"/>
              <w:rPr>
                <w:sz w:val="20"/>
                <w:szCs w:val="20"/>
                <w:color w:val="auto"/>
              </w:rPr>
            </w:pPr>
            <w:r>
              <w:rPr>
                <w:rFonts w:ascii="Arial" w:cs="Arial" w:eastAsia="Arial" w:hAnsi="Arial"/>
                <w:sz w:val="18"/>
                <w:szCs w:val="18"/>
                <w:color w:val="auto"/>
              </w:rPr>
              <w:t>Three months ended December 31, 2012</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23.25</w:t>
            </w:r>
          </w:p>
        </w:tc>
      </w:tr>
      <w:tr>
        <w:trPr>
          <w:trHeight w:val="581"/>
        </w:trPr>
        <w:tc>
          <w:tcPr>
            <w:tcW w:w="92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December 31, 2011</w:t>
            </w:r>
          </w:p>
        </w:tc>
        <w:tc>
          <w:tcPr>
            <w:tcW w:w="24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4"/>
                <w:szCs w:val="2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20.95</w:t>
            </w:r>
          </w:p>
        </w:tc>
      </w:tr>
      <w:tr>
        <w:trPr>
          <w:trHeight w:val="243"/>
        </w:trPr>
        <w:tc>
          <w:tcPr>
            <w:tcW w:w="9260" w:type="dxa"/>
            <w:vAlign w:val="bottom"/>
            <w:gridSpan w:val="4"/>
          </w:tcPr>
          <w:p>
            <w:pPr>
              <w:ind w:left="40"/>
              <w:spacing w:after="0"/>
              <w:rPr>
                <w:sz w:val="20"/>
                <w:szCs w:val="20"/>
                <w:color w:val="auto"/>
              </w:rPr>
            </w:pPr>
            <w:r>
              <w:rPr>
                <w:rFonts w:ascii="Arial" w:cs="Arial" w:eastAsia="Arial" w:hAnsi="Arial"/>
                <w:sz w:val="18"/>
                <w:szCs w:val="18"/>
                <w:color w:val="auto"/>
              </w:rPr>
              <w:t>Three months ended June 30, 2011</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21.91</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16.99</w:t>
            </w:r>
          </w:p>
        </w:tc>
      </w:tr>
      <w:tr>
        <w:trPr>
          <w:trHeight w:val="243"/>
        </w:trPr>
        <w:tc>
          <w:tcPr>
            <w:tcW w:w="9260" w:type="dxa"/>
            <w:vAlign w:val="bottom"/>
            <w:gridSpan w:val="4"/>
          </w:tcPr>
          <w:p>
            <w:pPr>
              <w:ind w:left="40"/>
              <w:spacing w:after="0"/>
              <w:rPr>
                <w:sz w:val="20"/>
                <w:szCs w:val="20"/>
                <w:color w:val="auto"/>
              </w:rPr>
            </w:pPr>
            <w:r>
              <w:rPr>
                <w:rFonts w:ascii="Arial" w:cs="Arial" w:eastAsia="Arial" w:hAnsi="Arial"/>
                <w:sz w:val="18"/>
                <w:szCs w:val="18"/>
                <w:color w:val="auto"/>
              </w:rPr>
              <w:t>Three months ended December 31, 2011</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15.49</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February 20, 2013, there were approximately 130,315 holders of record of our common stock, including those held in street or nominee name.</w:t>
      </w:r>
    </w:p>
    <w:p>
      <w:pPr>
        <w:spacing w:after="0" w:line="2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November 15, 2010, the conversion of the 6.50% mandatorily convertible preferred stock into 125,234,172 shares of our common stock was completed.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expect to pay dividends on its common stock in the near future.</w:t>
      </w:r>
    </w:p>
    <w:p>
      <w:pPr>
        <w:spacing w:after="0" w:line="200" w:lineRule="exact"/>
        <w:rPr>
          <w:sz w:val="20"/>
          <w:szCs w:val="20"/>
          <w:color w:val="auto"/>
        </w:rPr>
      </w:pPr>
    </w:p>
    <w:p>
      <w:pPr>
        <w:spacing w:after="0" w:line="34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Issuer purchases of equity securities: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 per</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r>
              <w:rPr>
                <w:rFonts w:ascii="Arial" w:cs="Arial" w:eastAsia="Arial" w:hAnsi="Arial"/>
                <w:sz w:val="8"/>
                <w:szCs w:val="8"/>
                <w:b w:val="1"/>
                <w:bCs w:val="1"/>
                <w:color w:val="auto"/>
              </w:rPr>
              <w:t>(1)(2)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Plans or 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2012</w:t>
            </w:r>
          </w:p>
        </w:tc>
        <w:tc>
          <w:tcPr>
            <w:tcW w:w="1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2012</w:t>
            </w: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3,716,773</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1"/>
                <w:szCs w:val="21"/>
                <w:color w:val="auto"/>
              </w:rPr>
            </w:pPr>
          </w:p>
        </w:tc>
        <w:tc>
          <w:tcPr>
            <w:tcW w:w="2160" w:type="dxa"/>
            <w:vAlign w:val="bottom"/>
          </w:tcPr>
          <w:p>
            <w:pPr>
              <w:jc w:val="right"/>
              <w:ind w:right="38"/>
              <w:spacing w:after="0"/>
              <w:rPr>
                <w:sz w:val="20"/>
                <w:szCs w:val="20"/>
                <w:color w:val="auto"/>
              </w:rPr>
            </w:pPr>
            <w:r>
              <w:rPr>
                <w:rFonts w:ascii="Arial" w:cs="Arial" w:eastAsia="Arial" w:hAnsi="Arial"/>
                <w:sz w:val="18"/>
                <w:szCs w:val="18"/>
                <w:color w:val="auto"/>
              </w:rPr>
              <w:t>3,716,773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9"/>
              <w:spacing w:after="0"/>
              <w:rPr>
                <w:sz w:val="20"/>
                <w:szCs w:val="20"/>
                <w:color w:val="auto"/>
              </w:rPr>
            </w:pPr>
            <w:r>
              <w:rPr>
                <w:rFonts w:ascii="Arial" w:cs="Arial" w:eastAsia="Arial" w:hAnsi="Arial"/>
                <w:sz w:val="18"/>
                <w:szCs w:val="18"/>
                <w:color w:val="auto"/>
              </w:rPr>
              <w:t>399,454,812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2012</w:t>
            </w:r>
          </w:p>
        </w:tc>
        <w:tc>
          <w:tcPr>
            <w:tcW w:w="1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14,290,851</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27.95</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14,290,851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18,007,624</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18,007,624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____________</w:t>
            </w:r>
          </w:p>
        </w:tc>
        <w:tc>
          <w:tcPr>
            <w:tcW w:w="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60" w:hanging="652"/>
        <w:spacing w:after="0" w:line="227" w:lineRule="auto"/>
        <w:tabs>
          <w:tab w:leader="none" w:pos="66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On November 20, 2012, the Company announced that its Board of Directors had approved the repurchase of up to $500 million of the Company’s common stock in the open market or through other methods. The repurchase was completed by December 31, 2012.</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The number of shares purchased is based on the purchase date and not the settlement date.</w:t>
      </w:r>
    </w:p>
    <w:p>
      <w:pPr>
        <w:spacing w:after="0" w:line="98" w:lineRule="exact"/>
        <w:rPr>
          <w:rFonts w:ascii="Arial" w:cs="Arial" w:eastAsia="Arial" w:hAnsi="Arial"/>
          <w:sz w:val="25"/>
          <w:szCs w:val="25"/>
          <w:color w:val="auto"/>
          <w:vertAlign w:val="superscript"/>
        </w:rPr>
      </w:pPr>
    </w:p>
    <w:p>
      <w:pPr>
        <w:ind w:left="660" w:hanging="652"/>
        <w:spacing w:after="0" w:line="188"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Average price per share includes commissions.</w:t>
      </w:r>
    </w:p>
    <w:p>
      <w:pPr>
        <w:spacing w:after="0" w:line="310"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In the past three years, we have issued unregistered securities in connection with the following transactions: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December 2012, we issued $750.0 million of 3.125% Senior Notes due 2023 (“2023 Senior Notes”). These notes were issued in a private offering exempt from the registration requirements of the Securities Act to qualified institutional buyers in accordance with Rule 144A and to persons outside of the United States pursuant to Regulation S under the Securities Act.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In November 2010, we issued $800.0 million aggregate principal amount of 6.0% Senior Notes due 2018 (the “2018 Senior Notes”). These notes were issued in a private offering exempt from the registration requirements of the Securities Act of 1933, as amended (the “Securities Act”) to qualified institutional buyers in accordance with Rule 144A and to persons outside of the United States pursuant to Regulation S under the Securities Act.</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May 2010, we issued $550.0 million of 7.625% Senior Notes due 2017 (the “2017 Senior Notes”) and $700.0 million of 7.875% Senior Notes due 2020 (the “2020 Senior Notes”). These notes were issued in private offerings exempt from the registration requirements of the Securities Act to qualified institutional buyers in accordance with Rule 144A and to persons outside of the United States pursuant to Regulation S under the Securities Act. In July 2010, we privately placed $300.0 million aggregate principal amount of senior notes through a reopening of our 2020 Senior Notes.</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Set forth below is a performance graph comparing the cumulative total return (assuming reinvestment of dividends), in U.S. Dollars, for the calendar years ended December 31, 2008, 2009, 2010, 2011 and 2012 of $100 invested on December 31, 2007 in Mylan’s Common Stock, the Standard &amp; Poor’s 500 Index and the Dow Jones U.S. Pharmaceuticals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124460</wp:posOffset>
            </wp:positionV>
            <wp:extent cx="5848985" cy="3061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20" w:type="dxa"/>
            <w:vAlign w:val="bottom"/>
            <w:tcBorders>
              <w:top w:val="single" w:sz="8" w:color="auto"/>
              <w:left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12/07</w:t>
            </w:r>
          </w:p>
        </w:tc>
        <w:tc>
          <w:tcPr>
            <w:tcW w:w="920" w:type="dxa"/>
            <w:vAlign w:val="bottom"/>
            <w:tcBorders>
              <w:top w:val="single" w:sz="8" w:color="auto"/>
              <w:bottom w:val="single" w:sz="8" w:color="auto"/>
              <w:right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12/08</w:t>
            </w:r>
          </w:p>
        </w:tc>
        <w:tc>
          <w:tcPr>
            <w:tcW w:w="900" w:type="dxa"/>
            <w:vAlign w:val="bottom"/>
            <w:tcBorders>
              <w:top w:val="single" w:sz="8" w:color="auto"/>
              <w:bottom w:val="single" w:sz="8" w:color="auto"/>
              <w:right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12/09</w:t>
            </w:r>
          </w:p>
        </w:tc>
        <w:tc>
          <w:tcPr>
            <w:tcW w:w="920" w:type="dxa"/>
            <w:vAlign w:val="bottom"/>
            <w:tcBorders>
              <w:top w:val="single" w:sz="8" w:color="auto"/>
              <w:bottom w:val="single" w:sz="8" w:color="auto"/>
              <w:right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12/10</w:t>
            </w:r>
          </w:p>
        </w:tc>
        <w:tc>
          <w:tcPr>
            <w:tcW w:w="900" w:type="dxa"/>
            <w:vAlign w:val="bottom"/>
            <w:tcBorders>
              <w:top w:val="single" w:sz="8" w:color="auto"/>
              <w:bottom w:val="single" w:sz="8" w:color="auto"/>
              <w:right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12/11</w:t>
            </w:r>
          </w:p>
        </w:tc>
        <w:tc>
          <w:tcPr>
            <w:tcW w:w="9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12/12</w:t>
            </w:r>
          </w:p>
        </w:tc>
      </w:tr>
      <w:tr>
        <w:trPr>
          <w:trHeight w:val="275"/>
        </w:trPr>
        <w:tc>
          <w:tcPr>
            <w:tcW w:w="40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Mylan Inc.</w:t>
            </w:r>
          </w:p>
        </w:tc>
        <w:tc>
          <w:tcPr>
            <w:tcW w:w="1960" w:type="dxa"/>
            <w:vAlign w:val="bottom"/>
            <w:tcBorders>
              <w:bottom w:val="single" w:sz="8" w:color="CCEEFF"/>
              <w:right w:val="single" w:sz="8" w:color="auto"/>
            </w:tcBorders>
            <w:shd w:val="clear" w:color="auto" w:fill="CCEEFF"/>
          </w:tcPr>
          <w:p>
            <w:pPr>
              <w:spacing w:after="0"/>
              <w:rPr>
                <w:sz w:val="23"/>
                <w:szCs w:val="23"/>
                <w:color w:val="auto"/>
              </w:rPr>
            </w:pPr>
          </w:p>
        </w:tc>
        <w:tc>
          <w:tcPr>
            <w:tcW w:w="9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100.00</w:t>
            </w:r>
          </w:p>
        </w:tc>
        <w:tc>
          <w:tcPr>
            <w:tcW w:w="92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70.34</w:t>
            </w:r>
          </w:p>
        </w:tc>
        <w:tc>
          <w:tcPr>
            <w:tcW w:w="9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131.08</w:t>
            </w:r>
          </w:p>
        </w:tc>
        <w:tc>
          <w:tcPr>
            <w:tcW w:w="92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150.28</w:t>
            </w:r>
          </w:p>
        </w:tc>
        <w:tc>
          <w:tcPr>
            <w:tcW w:w="90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152.63</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195.23</w:t>
            </w:r>
          </w:p>
        </w:tc>
      </w:tr>
      <w:tr>
        <w:trPr>
          <w:trHeight w:val="237"/>
        </w:trPr>
        <w:tc>
          <w:tcPr>
            <w:tcW w:w="40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S&amp;P 500</w:t>
            </w:r>
          </w:p>
        </w:tc>
        <w:tc>
          <w:tcPr>
            <w:tcW w:w="1960" w:type="dxa"/>
            <w:vAlign w:val="bottom"/>
            <w:tcBorders>
              <w:top w:val="single" w:sz="8" w:color="auto"/>
              <w:right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100.00</w:t>
            </w:r>
          </w:p>
        </w:tc>
        <w:tc>
          <w:tcPr>
            <w:tcW w:w="92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63.00</w:t>
            </w:r>
          </w:p>
        </w:tc>
        <w:tc>
          <w:tcPr>
            <w:tcW w:w="90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79.67</w:t>
            </w:r>
          </w:p>
        </w:tc>
        <w:tc>
          <w:tcPr>
            <w:tcW w:w="92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91.67</w:t>
            </w:r>
          </w:p>
        </w:tc>
        <w:tc>
          <w:tcPr>
            <w:tcW w:w="90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93.61</w:t>
            </w:r>
          </w:p>
        </w:tc>
        <w:tc>
          <w:tcPr>
            <w:tcW w:w="9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108.59</w:t>
            </w:r>
          </w:p>
        </w:tc>
      </w:tr>
      <w:tr>
        <w:trPr>
          <w:trHeight w:val="27"/>
        </w:trPr>
        <w:tc>
          <w:tcPr>
            <w:tcW w:w="40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40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Dow Jones U.S. Pharmaceuticals</w:t>
            </w:r>
          </w:p>
        </w:tc>
        <w:tc>
          <w:tcPr>
            <w:tcW w:w="196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100.00</w:t>
            </w:r>
          </w:p>
        </w:tc>
        <w:tc>
          <w:tcPr>
            <w:tcW w:w="92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81.85</w:t>
            </w:r>
          </w:p>
        </w:tc>
        <w:tc>
          <w:tcPr>
            <w:tcW w:w="90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97.47</w:t>
            </w:r>
          </w:p>
        </w:tc>
        <w:tc>
          <w:tcPr>
            <w:tcW w:w="92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99.55</w:t>
            </w:r>
          </w:p>
        </w:tc>
        <w:tc>
          <w:tcPr>
            <w:tcW w:w="90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118.11</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134.52</w:t>
            </w:r>
          </w:p>
        </w:tc>
      </w:tr>
      <w:tr>
        <w:trPr>
          <w:trHeight w:val="669"/>
        </w:trPr>
        <w:tc>
          <w:tcPr>
            <w:tcW w:w="40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5" w:right="21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selected consolidated financial data set forth below should be read in conjunction with “Management’s Discussion and Analysis of Results of Operations and Financial Condition” and the Consolidated Financial Statements and related Notes to Consolidated Financial Statements included in Item 8 in this Form 10-K. The functional currency of the primary economic environment in which the operations of Mylan and its subsidiaries in the U.S. are conducted is the U.S. Dollar. The functional currency of non-U.S. subsidiaries is generally the local currency in the country in which each subsidiary operates.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 xml:space="preserve">2011 </w:t>
            </w:r>
            <w:r>
              <w:rPr>
                <w:rFonts w:ascii="Arial" w:cs="Arial" w:eastAsia="Arial" w:hAnsi="Arial"/>
                <w:sz w:val="12"/>
                <w:szCs w:val="12"/>
                <w:b w:val="1"/>
                <w:bCs w:val="1"/>
                <w:color w:val="auto"/>
              </w:rPr>
              <w:t>(2)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 xml:space="preserve">2010 </w:t>
            </w:r>
            <w:r>
              <w:rPr>
                <w:rFonts w:ascii="Arial" w:cs="Arial" w:eastAsia="Arial" w:hAnsi="Arial"/>
                <w:sz w:val="12"/>
                <w:szCs w:val="12"/>
                <w:b w:val="1"/>
                <w:bCs w:val="1"/>
                <w:color w:val="auto"/>
              </w:rPr>
              <w:t>(3)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 xml:space="preserve">2009 </w:t>
            </w:r>
            <w:r>
              <w:rPr>
                <w:rFonts w:ascii="Arial" w:cs="Arial" w:eastAsia="Arial" w:hAnsi="Arial"/>
                <w:sz w:val="12"/>
                <w:szCs w:val="12"/>
                <w:b w:val="1"/>
                <w:bCs w:val="1"/>
                <w:color w:val="auto"/>
              </w:rPr>
              <w:t>(4)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12"/>
                <w:szCs w:val="12"/>
                <w:b w:val="1"/>
                <w:bCs w:val="1"/>
                <w:color w:val="auto"/>
              </w:rPr>
              <w:t>(5)(6)</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6,796,110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6,129,825</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5,450,522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5,092,785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5,137,585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3,887,806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3,566,461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3,233,125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3,018,313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3,067,364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2,908,304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2,563,364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2,217,397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2,074,472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2,070,221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401,341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294,728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282,146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317,217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1,400,747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1,214,631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1,086,609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1,050,145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1,053,485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settlements, net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127,058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1,109,349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1,005,449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721,584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523,352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297,885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335,944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331,462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318,496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380,779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(loss) before income taxes and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804,079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654,636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355,944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(71,557)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161,145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115,833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128,550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Net (earnings) loss attributable to the noncontrolling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w w:val="96"/>
              </w:rPr>
              <w:t>Net earnings (loss) attributable to Mylan Inc. before</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preferred dividends</w:t>
            </w:r>
          </w:p>
        </w:tc>
        <w:tc>
          <w:tcPr>
            <w:tcW w:w="2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640,850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536,810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345,115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232,571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(196,076)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dividends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139,035</w:t>
            </w: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w w:val="91"/>
              </w:rPr>
              <w:t>Net earnings (loss) attributable to Mylan Inc. common</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640,850</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536,810</w:t>
            </w:r>
          </w:p>
        </w:tc>
        <w:tc>
          <w:tcPr>
            <w:tcW w:w="2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223,580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93,536</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(335,111)</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Selected Balance Sheet data:</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11,931,897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11,598,143</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11,536,804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10,801,734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10,409,859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(7)</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1,709,214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1,005,688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1,749,831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1,567,239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1,630,023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298,987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128,054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162,451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184,352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151,109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 of long-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debt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5,431,948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5,168,226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5,268,185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4,991,335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5,082,318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3,355,828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3,504,782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3,615,401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3,145,198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2,786,841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Earnings (loss) per common share attributable to Mylan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 common 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430,839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324,453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304,360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420,236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438,785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328,979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306,913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304,360</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____________</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140" w:hanging="652"/>
        <w:spacing w:after="0" w:line="227"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Cost of sales in 2012 includes approximately $349.5 million primarily related to the amortization of purchased intangibles from acquisitions and an impairment charge recorded in the amount of $41.6 million related to in-process research and development (“IPR&amp;D”) assets.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660" w:right="120" w:hanging="652"/>
        <w:spacing w:after="0" w:line="232"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Cost of sales in 2011 includes approximately $348.6 million primarily related to the amortization of purchased intangibles from acquisitions and an impairment charge recorded in the amount of $16.2 million related to IPR&amp;D assets. In addition, the weighted average common shares outstanding include the full year effect of the conversion of the 6.50% mandatorily convertible preferred stock into approximately 125.2 million shares of common stock.</w:t>
      </w:r>
    </w:p>
    <w:p>
      <w:pPr>
        <w:spacing w:after="0" w:line="310" w:lineRule="exact"/>
        <w:rPr>
          <w:rFonts w:ascii="Arial" w:cs="Arial" w:eastAsia="Arial" w:hAnsi="Arial"/>
          <w:sz w:val="25"/>
          <w:szCs w:val="25"/>
          <w:color w:val="auto"/>
          <w:vertAlign w:val="superscript"/>
        </w:rPr>
      </w:pPr>
    </w:p>
    <w:p>
      <w:pPr>
        <w:ind w:left="660" w:right="460" w:hanging="652"/>
        <w:spacing w:after="0" w:line="21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The 2010 financial data includes the results of Bioniche Pharma from September 7, 2010. Cost of sales in 2010 includes approximately $309.2 million primarily related to the amortization of purchased intangibles from acquisitions.</w:t>
      </w:r>
    </w:p>
    <w:p>
      <w:pPr>
        <w:spacing w:after="0" w:line="265"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Cost of sales in 2009 includes approximately $282.5 million primarily related to the amortization of purchased intangibles from acquisitions.</w:t>
      </w:r>
    </w:p>
    <w:p>
      <w:pPr>
        <w:spacing w:after="0" w:line="309" w:lineRule="exact"/>
        <w:rPr>
          <w:rFonts w:ascii="Arial" w:cs="Arial" w:eastAsia="Arial" w:hAnsi="Arial"/>
          <w:sz w:val="24"/>
          <w:szCs w:val="24"/>
          <w:color w:val="auto"/>
          <w:vertAlign w:val="superscript"/>
        </w:rPr>
      </w:pPr>
    </w:p>
    <w:p>
      <w:pPr>
        <w:ind w:left="660" w:right="200" w:hanging="652"/>
        <w:spacing w:after="0" w:line="22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Cost of sales in 2008 includes approximately $415.6 million related to the amortization of purchased intangibles and the amortization of the inventory step-up primarily associated with acquisitions. 2008 also includes a goodwill impairment loss of $385.0 million and impairment charges on certain other assets of $72.5 million.</w:t>
      </w:r>
    </w:p>
    <w:p>
      <w:pPr>
        <w:spacing w:after="0" w:line="311" w:lineRule="exact"/>
        <w:rPr>
          <w:rFonts w:ascii="Arial" w:cs="Arial" w:eastAsia="Arial" w:hAnsi="Arial"/>
          <w:sz w:val="25"/>
          <w:szCs w:val="25"/>
          <w:color w:val="auto"/>
          <w:vertAlign w:val="superscript"/>
        </w:rPr>
      </w:pPr>
    </w:p>
    <w:p>
      <w:pPr>
        <w:ind w:left="660" w:right="120" w:hanging="652"/>
        <w:spacing w:after="0" w:line="21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The financial data for 2008 has been revised in accordance with the updated accounting guidance regarding noncontrolling interests and accounting related to the outstanding Convertible Notes, which we adopted on January 1, 2009.</w:t>
      </w:r>
    </w:p>
    <w:p>
      <w:pPr>
        <w:spacing w:after="0" w:line="25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Working capital is calculated as current assets minus current liabilities.</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Mylan Inc. and subsidiaries (the “Company,” “Mylan,” “our” or “we”) for the periods presented. This discussion and analysis should be read in conjunction with the Consolidated Financial Statements, the related Notes to Consolidated Financial Statements and our other Securities and Exchange Commission (“SEC”) filings and public disclosures.</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This Form 10-K may contain “forward-looking statements.” These statements are made pursuant to the safe harbor provisions of the Private Securities Litigation Reform Act of 1995. Such forward-looking statements may include, without limitation, statements about our market opportunities, strategies, competition and expected activities and expenditures, and at times may be identified by the use of words such as “may,” “will,” “could,” “should,” “would,” “project,” “believe,” “anticipate,” “expect,” “plan,” “estimate,” “forecast,” “potential,” “intend,” “continue,” “pursue” and variations of these words or comparable words. Forward-looking statements inherently involve risks and uncertainties. Accordingly, actual results may differ materially from those expressed or implied by these forward-looking statements. Factors that could cause or contribute to such differences include, but are not limited to, the risks described above under “Risk Factors” in Part I, Item 1A. We undertake no obligation to update any forward-looking statements for revisions or changes after the filing date of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Mylan ranks among the leading generic and specialty pharmaceutical companies in the world, offering one of the industry’s broadest and highest quality product portfolios, a robust pipeline and a global commercial footprint that spans approximately 140 countries and territories. With a workforce of more than 20,000 employees and external contractors, Mylan has attained leading positions in key international markets through its wide array of dosage forms and delivery systems, significant manufacturing capacity, global scale and commitment to quality and customer service. We hold a leading generics sales position in three of the world’s largest pharmaceutical markets, those being the United States (“U.S.”), France and the United Kingdom (“U.K.”), and we also hold leading sales positions in several other key generics markets, including Australia, Belgium, Italy, Portugal and Spain. Mylan also operates one of the world’s largest active pharmaceutical ingredient (“API”) manufacturers with respect to the number of drug master files filed with regulatory agencies. This capability makes Mylan one of only two global generics companies with a comprehensive, vertically integrated supply chain.</w:t>
      </w:r>
    </w:p>
    <w:p>
      <w:pPr>
        <w:spacing w:after="0" w:line="16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Mylan has two segments, “Generics” and “Specialty.” Generics primarily develops, manufactures, sells and distributes generic or branded generic pharmaceutical products in tablet, capsule, injectable or transdermal patch form, as well as API. Specialty engages mainly in the manufacture and sale of branded specialty nebulized and injectable products. Our specialty pharmaceutical business is conducted through our wholly owned subsidiary, Mylan Specialty L.P. We also report in Corporate/Other certain research and development expenses, general and administrative expenses, litigation settlements, amortization of</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and certain purchase accounting items, impairment charges, if any, and other items not directly attributable to the segments.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recent events include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Agila Specialties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February 27, 2013, the Company announced that it has signed a definitive agreement to acquire Agila Specialties Private Limited, a developer, manufacturer and marketer of high-quality generic injectable products, from Strides Arcolab Limited for approximately $1.6 billion in cash plus contingent payments of up to $250 million subject to certain conditions. The transaction will be funded through $1 billion in committed financing and the use of cash on hand and borrowings from the Company's revolving credit facility. As a result of the acquisition, the Company will significantly expand and strengthen its injectable product portfolio and gain entry into new geographic markets, such as Brazil. The transaction is expected to close in the fourth quarter of 2013 and is subject to certain closing conditions and regulatory approvals.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Japan Collaboration Agreement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August 22, 2012, the Company and Pfizer Japan Inc. (“Pfizer Japan”) announced a definitive agreement to establish an exclusive long-term strategic collaboration to develop, manufacture, distribute and market generic drugs in Japan. Under the agreement, the Company and Pfizer Japan will continue to operate separate legal entities in Japan, but will collaborate on current and future generic products, sharing the costs and profits resulting from the collaboration. The Company’s responsibilities primarily consist of managing operations, including research and development and manufacturing. Pfizer Japan’s responsibilities under the agreement primarily consist of the commercialization of the combined generics portfolio and managing a combined marketing and sales effort. The collaboration became operational on January 1,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Respiratory Delivery Platform</w:t>
      </w:r>
    </w:p>
    <w:p>
      <w:pPr>
        <w:spacing w:after="0" w:line="225"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On December 23, 2011, we completed the acquisition of the exclusive worldwide rights to develop, manufacture and commercialize a generic equivalent to GlaxoSmithKline’s Advair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Diskus and Seretide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Diskus, incorporating Pfizer Inc.’s (“Pfizer’s”) proprietary dry powder inhaler delivery platform (the “Respiratory Delivery Platform”). Advair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Diskus and Seretide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Diskus are inhaled fixed-dose combinations of Fluticasone Propionate and Salmeterol delivered via a dry powder inhaler and are used to treat asthma and COPD (chronic obstructive pulmonary disorder). The acquisition of the Respiratory Delivery Platform fills an important strategic gap in our product portfolio and will expand our focus on difficult-to-produce, limited competition products, and it will serve as a base for our respiratory franchise. The Respiratory Delivery Platform and scientific expertise will also be used to develop additional branded specialty products, building upon the capabilities and assets that we have in place within our Specialty Segment. As part of the agreement, we will fund the remaining development and capital requirements to bring the products to market.</w:t>
      </w:r>
    </w:p>
    <w:p>
      <w:pPr>
        <w:spacing w:after="0" w:line="206"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This transaction was accounted for as a purchase of a business with a total purchase consideration of $348 million. This amount consisted of an initial cash payment of $22 million, approximately $4 million in assumed liabilities and contingent consideration with an estimated fair value of approximately $322 million to be paid upon the achievement of future development and commercial milestones and the sharing of future profits.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Senior Notes and Receivables Agreement</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In December 2012, we issued $750 million aggregate principal amount of 3.125% Senior Notes due 2023 in a private offering exempt from the registration requirements of the Securities Act to qualified institutional buyers in accordance with Rule 144A and to persons outside of the United States pursuant to Regulation S under the Securities Act.</w:t>
      </w:r>
    </w:p>
    <w:p>
      <w:pPr>
        <w:spacing w:after="0" w:line="18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In February 2012, we entered into an agreement with a syndication of banks to borrow up to $300 million secured by certain U.S. trade accounts receivable, which was expanded to $400 million in July 2012. This agreement has a maturity of three years and is a committed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30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February 27, 2013, the Board of Directors of the Company approved the repurchase of up to $500 million of the Company’s common stock either in the open market or through privately-negotiated transactions. The repurchase program is expected to be completed during 2013, and does not obligate the Company to acquire any particular amount of common stock.</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During 2012, the Company completed two share repurchase programs by purchasing approximately 41.4 million shares of common stock for approximately $1.0 billion. During 2011, the Company repurchased approximately 14.8 million shares of common stock for approximately $350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the year ended December 31, 2012, Mylan reported total revenues of $6.80 billion compared to $6.13 billion for the year ended December 31, 2011. This represents an increase in revenues of $666.3 million, or 10.9%. Consolidated gross profit for the current year was $2.91 billion, compared to $2.56 billion in the comparable prior year period, an increase of $344.9 million, or 13.5%. For the current year, earnings from operations were $1.11 billion, as compared to $1.01 billion for the year ended December 31, 2011, an increase of $103.9 million, or 10.3%.</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earnings attributable to Mylan Inc. common shareholders increased $104.0 million, or 19.4%, to $640.9 million for the year ended December 31, 2012 compared to $536.8 million for the prior year comparable period. Diluted earnings per common share attributable to Mylan Inc. increased from $1.22 to $1.52 for the year ended December 31, 2012 compared to the prior year comparable period. A more detailed discussion of the Company’s financial results can be found below in the section titled “Results of Operations.”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Compared to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 and Gross Profit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For the year ended December 31, 2012, Mylan reported total revenues of $6.80 billion compared to $6.13 billion in the prior year period. Total revenues include both net revenues and other revenues from third parties. Third party net revenues for the current year were $6.75 billion compared to $6.11 billion for the same prior year period, representing an increase of $644.0 million, or 10.5%. Other third party revenues for the current year were $45.9 million compared to $23.5 million in the prior year period, an increase of $22.3 million due primarily to increased royalties.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Mylan’s current year revenues were unfavorably impacted by the effect of foreign currency translation, primarily reflecting changes in the</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U.S. Dollar as compared to the currencies of Mylan’s Euro-denominated subsidiaries, as well as the currencies of Mylan’s subsidiaries in India and Japan. The unfavorable impact of foreign currency translation on current year total revenues was approximately $197 million, or 3%. As such, translating total revenues for 2012 at prior year foreign currency exchange rates would have resulted in year-over-year growth of approximately $863 million, or approximately 14%. New product launches totaled approximately $922 million. On a constant currency basis, revenues from existing products decreased approximately $81 million. The decline in pricing of approximately $340 million was due to unfavorable pricing within Generics, partially offset by favorable pricing within Specialty. Incremental volume within both Generics and Specialty contributed approximately $260 million to current year sales.</w:t>
      </w:r>
    </w:p>
    <w:p>
      <w:pPr>
        <w:spacing w:after="0" w:line="164"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Cost of sales for the current year ended December 31, 2012 was $3.89 billion, compared to $3.57 billion in the prior year. Cost of sales for the current year is impacted by the amortization of acquired intangible assets and restructuring and other special items as described further in the section titled “Adjusted Earnings.” These items totaled approximately $456.8 million, which includes an in-process research and development (“IPR&amp;D”) asset impairment charge of $41.6 million. Prior year cost of sales included similar purchase accounting and restructuring and other special items in the amount of $373.2 million, including a $16.2 million IPR&amp;D asset impairment charge. The increase in current year purchase accounting and restructuring and other special items is principally the result of various restructuring programs for certain production employees, the IPR&amp;D impairment charge noted above and costs associated with the ratification of a new collective bargaining agreement with the United Steel, Paper and Forestry, Rubber, Manufacturing, Energy, Allied Industrial and Service Workers International Union and its Local Union 8-957 AFL-CIO (the “Union”). The agreement governs certain employees at our Morgantown, WV manufacturing site, including the estimated withdrawal obligation from a multi-employer pension plan. Excluding these amounts, cost of sales in the current year increased to $3.43 billion from $3.19 billion, corresponding to the increase in sales .</w:t>
      </w:r>
    </w:p>
    <w:p>
      <w:pPr>
        <w:spacing w:after="0" w:line="16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In arriving at net revenues, gross revenues are reduced by provisions for estimates, including discounts, rebates, promotions, price adjustments, returns and chargebacks. See the section titled </w:t>
      </w:r>
      <w:r>
        <w:rPr>
          <w:rFonts w:ascii="Arial" w:cs="Arial" w:eastAsia="Arial" w:hAnsi="Arial"/>
          <w:sz w:val="18"/>
          <w:szCs w:val="18"/>
          <w:i w:val="1"/>
          <w:iCs w:val="1"/>
          <w:color w:val="auto"/>
        </w:rPr>
        <w:t>Application of Critical Accounting Policies</w:t>
      </w:r>
      <w:r>
        <w:rPr>
          <w:rFonts w:ascii="Arial" w:cs="Arial" w:eastAsia="Arial" w:hAnsi="Arial"/>
          <w:sz w:val="18"/>
          <w:szCs w:val="18"/>
          <w:color w:val="auto"/>
        </w:rPr>
        <w:t xml:space="preserve"> in this Item 7, for a thorough discussion of our methodology with respect to such provisions. For 2012, the most 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amounts charged against gross revenues were $2.35 billion related to chargebacks and $1.67 billion related to incentives offered to our direct customers, such as promotions and volume related incentives. For 2011, the most significant amounts charged against gross revenues were for chargebacks in the amount of $2.13 billion and incentives offered to our direct customers in the amount of $1.26 billion.</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Gross profit for the current year was $2.91 billion and gross margins were 42.8%. For 2011, gross profit was $2.56 billion, and gross margins were 41.8%. Excluding the purchase accounting and restructuring and other special items discussed in the above paragraph, gross margins would have been approximately 50% for the year ended December 31, 2012 and 48% for the prior year period. The increase in gross margin was the result of new product introductions in the current year, which increased gross margins by approximately 320 basis points and favorable pricing and volume on the EPIPEN® Auto-Injector in our Specialty Segment, the impact of which was approximately 105 basis points. These increases were partially offset by lower gross margins on existing products principally as a result of unfavorable pricing in Generics.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a limited number of our products may represent a significant portion of our net revenues, gross profit and net earnings. Generally, this is due to the timing of new product launches and the amount, if any, of additional competition in the market. Our top ten products in terms of sales, in the aggregate, represented approximately 28% and 23% of total revenues in 2012 and 2011,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Generics Segment</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the current year, Generics third party net revenues were $5.95 billion compared to $5.56 billion in the prior year period, an increase of $391.2 million, or 7.0%. Translating Generics third party net revenues for 2012 at prior year foreign currency exchange rates would have resulted in year-over-year growth of approximately $587 million, or 11%. Generics sales are derived primarily in or from North America, Europe, the Middle East and Africa (collectively, “EMEA”) and India, Australia, Japan, and New Zealand (collectively, “Asia Pacific”).</w:t>
      </w:r>
    </w:p>
    <w:p>
      <w:pPr>
        <w:spacing w:after="0" w:line="17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Third party net revenues from North America were $3.26 billion for the current year, compared to $2.86 billion for the prior year, representing an increase of $406.4 million, or 14.2%. The increase in current year third party net revenues was primarily driven by new product launches, partially offset by lower sales of existing products. The effect of foreign currency translation was insignificant within North America.</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increase in current year third party net revenues from new product launches totaled approximately $784 million. Products generally contribute most significantly to revenues and gross margins at the time of their launch, even more so in periods of market exclusivity, or in periods of limited generic competition. As such, the timing of new product introductions can have a significant impact on Mylan’s financial results. The most significant new products launched in the current year include Escitalopram Tablets USP, 5 mg, 10 mg and 20 mg, the first equivalent product to Forest Laboratories’ Lexapro®, Valsartan and Hydrochlorothiazide Tablets USP, the generic version of Novartis’ Diovan HCT® Tablets, Doxycycline Hyclate Delayed-release (DR) Tablets USP, 150 mg, the generic version of Mayne Pharma’s Doryx® 150 mg product that is marketed by Warner Chilcott, and Pioglitazone Tablets USP, 15 mg, 30 mg and 45 mg, the generic version of Takeda Pharmaceuticals Company’s Actos® Tablets.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entrance into the market of additional competition generally has a negative impact on the volume and pricing of the affected products. Additionally, pricing is often affected by factors outside of the Company’s control. The decrease in existing products was due to both unfavorable pricing and volume.</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Third party net revenues from EMEA were $1.36 billion in 2012, compared to $1.47 billion in 2011, a decrease of $109.8 million, or 7.5%. Current year third party net revenues from EMEA were essentially flat when translated at comparable prior year period exchange rates. This slight decrease was the result of competitive market conditions, which resulted in lower pricing on existing products in a number of European markets in which Mylan operates, almost fully offset by new product introductions throughout Europe and favorable volume, principally in France and Italy.</w:t>
      </w:r>
    </w:p>
    <w:p>
      <w:pPr>
        <w:spacing w:after="0" w:line="17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Local currency net revenues from Mylan’s business in France increased slightly as compared to the prior year as a result of new product launches and higher volumes on existing products almost fully offset by the impact of lower pricing due to government-imposed pricing reductions and an increasingly competitive market. Our market share in France remained relatively stable in 2012 as compared to 2011, and we remain the market leader.</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Italy, excluding the effect of foreign currency, third party net revenues increased almost 20% as a result of successful product launches and increased market penetration, which has favorably affected sales volume. Italy is one of the fastest growing markets in Europe. Our growth in Italy outpaced the market in terms of both volume and sales value. In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U.K. and Spain, excluding the effect of foreign currency, third party net revenues increased approximately 2-4%, also the result of new product launches and incremental volume. Sales in both Italy and Spain were negatively impacted by governmental measures, which reduced pricing in both markets.</w:t>
      </w:r>
    </w:p>
    <w:p>
      <w:pPr>
        <w:spacing w:after="0" w:line="124"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addition to France, Spain and Italy, certain other markets in which we do business, including Portugal, have recently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which appear to favor generic products, could help to offset this unfavorable effect by potentially increasing rates of generic substitution and penetration.</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number of markets in which we operate have implemented or may implement tender systems for generic pharmaceuticals in an effort to lower prices. Generally speaking, tender systems can have an unfavorable impact on revenue and profitability. Under such tender systems, manufacturers submit bids which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 Additionally, the loss of a tender by a third party to whom we supply API can also have a negative impact on our sales and profitability. Sales, primarily in Germany, continue to be negatively affected by the impact of tender systems.</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Asia Pacific, third party net revenues were $1.33 billion in 2012, compared to $1.24 billion in 2011, an increase of $94.6 million, or 7.7%. Excluding the unfavorable effect of foreign currency translation, calculated as described above, the increase was approximately $185 million, or 15%. This increase was primarily driven by higher third party sales by our operations in India, as well as Japan, partially offset by lower sales in Australia.</w:t>
      </w:r>
    </w:p>
    <w:p>
      <w:pPr>
        <w:spacing w:after="0" w:line="147"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The increase in third party net revenues by Mylan India is due to significant growth, excluding the effect of foreign currency, in sales of anti-retroviral (“ARV”) finished dosage form (“FDF”) generic products, which are used in the treatment of HIV/AIDS and significant growth in API sales. In addition to third party sales, the Asia Pacific region also supplies both FDF generic products and API to Mylan subsidiaries in conjunction with Mylan’s vertical integration strategy. Intercompany revenues recognized by the Asia Pacific region were $283.8 million in 2012, compared to $216.7 million in the prior year period. These intercompany sales eliminate within, and therefore are not included in Generics or consolidated net revenues.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Japan, third party net revenues increased mainly as a result of favorable volume, which served to more than offset the impact of government-imposed price reductions that took place in the first quarter of 2012. In Australia, sales were negatively impacted by the most significant government-imposed pricing reform in the country’s history. As in EMEA, both Australia and Japan have undergone government-imposed price reductions which have had, and could continue to have, a negative impact on sales and gross profit in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Segment</w:t>
      </w:r>
    </w:p>
    <w:p>
      <w:pPr>
        <w:spacing w:after="0" w:line="225"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For the current year, Specialty reported third party net revenues of $800.2 million, an increase of $252.8 million, or 46.2%, from the prior year period of $547.4 million. The increase was principally the result of higher sales of the EPIPEN® Auto-Injector, which is used in the treatment of severe allergic reactions (anaphylaxis). The EPIPEN® Auto-Injector is the number one prescribed epinephrine auto-injector. The market continues to grow as awareness of the risk of anaphylaxis increases.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Research and development (“R&amp;D”) expense in 2012 was $401.3 million, compared to $294.7 million in the same prior year period, an increase of $106.6 million. R&amp;D increased due primarily to the expenses related to the development of our respiratory and biologics programs as well as the timing of internal and external product development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Selling, general and administrative (“SG&amp;A”) expense for the current year was $1.40 billion, compared to $1.21 billion for the prior year, an increase of $186.1 million. Primary factors contributing to the increase in SG&amp;A include an increase in certain payroll and related employee benefit costs, including increased costs for retirement and post-employment programs of approximately $63 million as we continue to build out our infrastructure in certain areas; increased selling and marketing and related costs of approximately $38 million, principally within our Specialty Segment; an increase in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associated with various restructuring activities of approximately $19 million; and the fair value adjustment related to the contingent consideration liability of approximately $8.0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Settlements, net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2012, the Company recorded a $3.1 million net gain for litigation settlements, compared to expense of $48.6 million in the prior year period. The net gain in litigation settlements in the current year was principally the result of a favorable settlement of the Levalbuterol patent infringement matter, which resulted in an $18 million reduction of a previously established accrual and the receipt of a net payment of approximately $16 million related to a separate patent infringement matter. These items were partially offset by various unfavorable items, principally a $20 million charge related to existing pricing litigation matters and other patent infringement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Interest expense for 2012 totaled $308.7 million, compared to $335.9 million for 2011. The decrease is primarily due to lower interest expense on variable rate debt instruments. Included in interest expense is the amortization of the discounts on our convertible debt instruments and 2018 Senior Notes, net of amortization of the premium on our 2020 Senior Notes, which totals $29.4 million for the current period and $49.8 million for the same prior year period. Also included in interest expense for the current period is $30.7 million of accretion of our contingent consideration liability related to certain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Other income (expense), net, was income of $3.4 million in the current year compared to expense of $14.9 million in the prior year period. Generally, included in other income (expense), net, are losses from equity method affiliates ($16.8 million in 2012), certain foreign exchange transaction gains and losses and interest and dividend income. Additionally, included in the prior year period are charges associated with the termination of certain interest rate swaps totaling $13.9 million and the write-off of previously deferred financing fees of $20.1 million related to the refinancing of our senior credit facility in November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recorded income tax expense of $161.1 million in 2012 compared to expense of $115.8 million in 2011, an increase of $45.3 million. This increase was primarily due to a higher effective tax rate and an increase in pre-tax income. The higher effective tax rate was primarily the result of lower tax benefits from repatriation of foreign earnings in 2012 compared to 2011, which was partially offset by the following items. In 2012, the Company realized a higher amount of net reductions in previously established reserves for uncertain tax positions as compared to 2011. Additionally, in 2011, the Company incurred audit settlements in a foreign taxing jurisdiction and benefits related to the restructuring of certain foreign subsidiaries. Also affecting the change in the Company's effective tax rate were changes in losses by certain foreign subsidiaries for which the Company has not recorded a tax benefit and differing levels of income in tax jurisdictions with differing statutory tax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Compared to 2010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 and Gross Profit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 ended December 31, 2011, Mylan reported total revenues of $6.13 billion compared to $5.45 billion in 2010. Total revenues include both net revenues and other revenues from third parties. Third party net revenues for 2011 were $6.11 billion compared to $5.40 billion for 2010, representing an increase of $702.0 million, or 13.0%. Other third party revenues for 2011 were $23.5 million compared to $46.3 million in 2010, a decrease of 22.8 million, primarily due to a decrease in royalty income in 2011.</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Mylan’s revenues are impacted by the effect of foreign currency translation, primarily reflecting changes in the U.S. Dollar as compared to the currencies of Mylan’s Euro-denominated subsidiaries, as well as the currencies of Mylan’s subsidiaries in India, Australia and Japan. The favorable impact of foreign currency translation on 2011 total revenues was approximately 2%, or $122.2 million. New product launches totaled approximately $395 million. On a constant currency basis, revenues from existing products increased approximately $50 million, which included a decline in pricing of approximately $218 million that was more than offset by increased volumes on existing products. The remaining increase in revenues was the result of the incremental revenue from the Bioniche Pharma acquisition in September 2010.</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Cost of sales for 2011 was $3.57 billion, compared to $3.23 billion in 2010. Cost of sales in 2011 was impacted by the amortization of acquired intangible assets, and restructuring and other special items as described further in the section titled “Adjusted Earnings.” These items totaled approximately $373.2 million, which consisted primarily of amortization related to purchased intangible assets associated with acquisitions. Cost of sales in 2010 included similar purchase accounting and other special items in the amount of $315.9 million. The increase in purchase accounting and other special items in 2011 was the result of increased amortization expense due to the inclusion of Bioniche Pharma, which was acquired in September 2010, for a full year of approximately $38.1 million, and a $16.2 million IPR&amp;D asset impairment charge. Excluding these amounts, cost of inventory sold increased to $3.19 billion from $2.92 billion due to increased product volumes within the North American region of the Generics Segment and our Specialty Segment.</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arriving at net revenues, gross revenues are reduced by provisions for estimates, including discounts, rebates, promotions, price adjustments, returns and chargebacks. See the section titled “Application of Critical Accounting Policies” in this Item 7, for a thorough discussion of our methodology with respect to such provisions. For 2011, the most significant amounts charged against gross revenues were for chargebacks in the amount of $2.13 billion and incentives offered to our direct customers in the amount of $1.26 billion. For 2010, the most significant amounts charged against gross revenues were for chargebacks in the amount of 2.07 billion and incentives offered to our direct customers in the amount of 1.27 billion.</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Gross profit for 2011 was $2.56 billion and gross margins were 41.8%. For 2010, gross profit was $2.22 billion, and gross margins were 40.7%. Excluding the purchase accounting and other special items discussed in the above paragraph, gross margins would have been approximately 48% in 2011, and 47% in 2010. This increase in gross margin was primarily driven by our Generics Segment and is the result of new products launched in the North American region, which contributed approximately 150 basis points to the increase. In addition, favorable pricing and volume on the EPIPEN® Auto-Injector in our Specialty Segment contributed approximately 40 basis points to the increase in gross margin. These impacts were partially offset by lower margins on existing products.</w:t>
      </w:r>
    </w:p>
    <w:p>
      <w:pPr>
        <w:spacing w:after="0" w:line="19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From time to time, a limited number of our products may represent a significant portion of our net revenues, gross profit and net earnings. Generally, this is due to the timing of new product launches and the amount, if any, of additional competition in the market. Our top ten products in terms of sales, in the aggregate, represented approximately 23% of total revenues in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Generics Segment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For 2011, Generics third party net revenues were $5.56 billion compared to $4.98 billion in 2010, an increase of $577.4 million, or 11.6%. Translating Generics 2011 third party net revenues at 2010 foreign currency exchange rates would have resulted in year-over-year growth of approximately $455.4 million, or 9%.</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Third party net revenues from North America were $2.86 billion for 2011, compared to $2.36 billion for 2010, representing an increase of $496.1 million, or 21.0%. The increase in 2011 net revenues was primarily driven by new product launches, and increased volume, including incremental revenue from Bioniche Pharma acquisition in September 2010, totaling approximately $427.9 million.</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During 2011, we launched approximately 50 new products in North America. Products generally contribute most significantly to revenues and gross margin at the time of their launch, even more so in periods of market exclusivity, or in periods of limited generic competition. As such, the timing of new product introductions can have a significant impact on Mylan’s financial results. The most significant new product launched in 2011 was Budesonide Capsules, 3 mg (Enteric Coated), the generic version of AstraZeneca’s Entocort EC® capsules, a treatment for Chron’s disease.</w:t>
      </w:r>
    </w:p>
    <w:p>
      <w:pPr>
        <w:spacing w:after="0" w:line="17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entrance into the market of additional competition generally has a negative impact on the volume and pricing of the affected products. Additionally, pricing is often affected by factors outside of the Company’s control. The decrease in existing products, in 2011, was due to both unfavorable volume and pricing.</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Third party net revenues from EMEA were $1.47 billion in 2011, compared to $1.55 billion in 2010, a decrease of $79.9 million, or 5.2%. Translating 2011 third party net revenues from EMEA at 2010 exchange rates would have resulted in a year-over-year decrease in third party net revenues of approximately $146 million, or 9%. This decrease was the result of unfavorable pricing in nearly all of the European markets in which Mylan operates. Revenue from the launch of new products throughout Europe served to offset unfavorable volume on existing products in certain markets, primarily France, the United Kingdom and Germany.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Local currency revenues in 2011, from Mylan’s business in France decreased as compared to 2010, as a result of the impact of lower pricing and volume due to an increasing competitive market, partially offset by new product launches. Despite these conditions, our market share in France remained relatively stable in the current period, and we remain the market leader.</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Italy, excluding the effect of foreign currency, third party net revenues increased more than 20% as a result of successful product launches and increased market penetration, which had favorably affected sales volume. Italy was one of the fastest growing markets in Europe. Our growth in Italy outpaced the market in terms of both volume and sales value, in 2011. In Spain, another fast-growing market, we saw significant growth in our market share in terms of volume, while our share in terms of value remained constant in 2011. This was due, in part, to government-imposed price reductions which resulted in overall unfavorable pricing. This unfavorable pricing was partially offset by revenue from new products and incremental volume on our existing portfolio.</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to Spain and Italy, certain other markets in which we do business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which appear to favor generic products, could help to offset some of this unfavorable effect by potentially increasing rates of generic substitution.</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number of markets in which we operate have implemented tender systems for generic pharmaceuticals in an effort to lower prices. Generally speaking, tender systems can have an unfavorable impact on revenue and profitability. Under such tender systems, manufacturers submit bids which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 Additionally, the loss of a tender by a third party to whom we supply API can also have a negative impact on our sales and profitability. Sales, primarily in Germany, continue to be negatively affected by the impact of tender systems.</w:t>
      </w:r>
    </w:p>
    <w:p>
      <w:pPr>
        <w:spacing w:after="0" w:line="193"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In Asia Pacific, third party net revenues were $1.24 billion in 2011, compared to $1.07 billion in 2010, an increase of $161.2 million, or 15.0%. Excluding the favorable effect of foreign currency translation, calculated as described above, the increase was approximately $113 million, or 11%. This increase is primarily driven by higher third party sales by Mylan Laboratories Limited.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increase in third party net revenues by our operations in India was due to significant growth, excluding the effect of foreign currency, in sales of both ARV FDF generic products, which are used in the treatment of HIV/AIDS, and significant growth in API sales. In addition to third party sales, the Asia Pacific region also supplied both FDF generic products and API to Mylan subsidiaries in conjunction with Mylan’s vertical integration strategy. Intercompany revenues recognized by the Asia Pacific region were $216.7 million in 2011, compared to $162.2 million in 2010. These intercompany sales eliminate within, and therefore are not included in, Generics or consolidated net revenues.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Japan, third party net revenues increased mainly as a result of favorable volume . In Australia, local currency sales decreased versus 2010 as sales growth from new products was offset by lower pricing. As in EMEA, government-imposed price reductions in Japan and Australia have had a negative impact on sales and gross profit in these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Segment</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For 2011, Specialty reported third party net revenues of $547.4 million, an increase of $124.6 million, or 29.5%, from 2010 of $422.8 million. The most significant contributor to Specialty revenues during 2011 was the EPIPEN® Auto-Injector. The EPIPEN® Auto-Injector is the number one prescribed epinephrine auto-injector. Specialty realized increased sales of the EPIPEN® Auto-Injector as a result of favorable pricing and increased volume.</w:t>
      </w:r>
    </w:p>
    <w:p>
      <w:pPr>
        <w:spacing w:after="0" w:line="147"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In addition to the continued strong sales of the EPIPEN® Auto-Injector, the increase in third-party sales included higher sales volumes of Perforomist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Inhalation Solution, Mylan Specialty’s maintenance therapy for patients with moderate to severe chronic obstructive pulmonary disease.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R&amp;D expense in 2011 was $294.7 million, compared to $282.1 million in 2010, an increase of $12.6 million, with approximately $6.0 million of this increase due to the unfavorable impact from foreign currency, and the remainder due to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inclusion of Bioniche Pharma for a full year. As it relates to the 2011 R&amp;D expense, Mylan continued to invest in new FDF products and API, while our investment in our biologics and specialty platforms increased.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SG&amp;A expense for 2011 was $1.21 billion, compared to $1.09 billion for 2010, an increase of $128.0 million. Approximately $27 million of this increase is due to the unfavorable impact from foreign currency, and approximately $13 million is the result of the inclusion of Bioniche Pharma for a full year. The remainder of the increase is primarily the result of increased payroll and benefit costs of approximately $80 million, higher marketing expense in the Specialty Segment of approximately $17 million due to the various advertising campaigns related to the EPIPEN® Auto-Injector and increased legal expense of approximately $16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Settlements, net</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During 2011, we recorded net litigation charges of $48.6 million, compared to $127.1 million during 2010. In 2011, the net charges for litigation settlements principally related to an adverse ruling for an anti-competition claim in France, which resulted in a charge of $24.0 million, and a patent infringement claim, which resulted in a charge of $18.0 million. In 2010, we recorded pre-tax charges of $66.0 million related to settlements in principal to resolve certain claims and estimated potential losses on other claims related to our outstanding pricing litigation. In addition, in 2010 the Company recorded pre-tax charges of approximately $41.0 million to reserve for estimated potential losses and settlements in principle related to certain product liability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440" w:firstLine="648"/>
        <w:spacing w:after="0" w:line="279" w:lineRule="auto"/>
        <w:rPr>
          <w:sz w:val="20"/>
          <w:szCs w:val="20"/>
          <w:color w:val="auto"/>
        </w:rPr>
      </w:pPr>
      <w:r>
        <w:rPr>
          <w:rFonts w:ascii="Arial" w:cs="Arial" w:eastAsia="Arial" w:hAnsi="Arial"/>
          <w:sz w:val="17"/>
          <w:szCs w:val="17"/>
          <w:color w:val="auto"/>
        </w:rPr>
        <w:t>Interest expense for 2011 totaled $335.9 million, compared to $331.5 million for 2010. The increase was primarily due to a full year of interest associated with the 2017, 2018 and 2020 Senior Notes debt offerings in 2010, partially offset by a decrease in the amortization of discounts. Included in interest expense for 2011 and 2010 were $49.8 million and $60.0 million, primarily related to the amortization of the discounts on our convertible debt instruments and the 2018 Senior Notes, net of amortization of the premium on our 2020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Other expense was $14.9 million in 2011 compared to expense of $34.2 million in 2010. Generally included in other income (expense), net, are certain foreign exchange transaction gains and losses and interest and dividend income. Additionally, included in 2011 were charges associated with the termination of certain interest rate swaps totaling $13.9 million and the write-off of previously deferred financing fees of $20.1 million related to the refinancing of the senior credit facility. Other expense in 2010 included a $4.9 million loss on the sale of certain non-operating assets, charges associated with the termination of certain interest rate swaps totaling $18.6 million and the write-off of previously deferred financing fees of $18.8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recorded income tax expense of $115.8 million in 2011, compared to a $10.4 million expense for 2010. This increase was primarily due to a higher effective tax rate and an increase in pre-tax income. The lower effective tax rate in 2010 was a result of more uncertain tax positions being favorably resolved in that year as compared to 2011. In both periods, the decreases to our tax reserves were due to favorable rulings from taxing authorities, expirations of statutes of limitations, and participation in voluntary disclosure agreements with certain tax jurisdictions. Additional factors affecting the Company’s effective tax rate were changes in losses by certain foreign subsidiaries for which the Company has not recorded a tax benefit and differing levels of income in tax jurisdictions with differing statutory tax rates.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Adjusted earnings are an alternative view of performance used by management. Management believes that, primarily due to acquisitions, an evaluation of the Company’s ongoing operations (and comparisons of its current operations with historical and future operations) would be difficult if the disclosure of its financial results were limited to financial measures prepared only in accordance with accounting principles generally accepted in the U.S. (“GAAP”), and management also believes that investors’ understanding of our performance is enhanced by these adjusted measures. Adjusted Earnings and Adjusted Earnings per Diluted Share (“Adjusted EPS”) are two of the most important internal financial metrics related to the ongoing operating performance of the Company. Actual internal and forecasted operating results and annual budgets include Adjusted Earnings and Adjusted EPS, and the financial performance of the Company is measured by senior management on this basis along with other performance metrics. Management’s annual incentive compensation is derived in part based on the Adjusted EPS metric.</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Whenever the Company uses such non-GAAP measures, it will provide a reconciliation of non-GAAP financial measures to the most closely applicable GAAP financial measure. Investors and other readers are encouraged to review the related GAAP financial measures and the reconciliation of non-GAAP measures to their most closely applicable GAAP measure set forth below and should consider non-GAAP measures only as a supplement to, not as a substitute for or as a superior measure to, measures of financial performance prepared in accordance with GAAP. Additionally, since Adjusted Earnings and Adjusted EPS are not measures determined in accordance with GAAP, they have no standardized meaning prescribed by GAAP and, therefore, may not be comparable to the calculation of similar measures of other companies.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Earnings and Adjusted EPS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Items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ongoing impact of certain amounts recorded in connection with acquisitions is excluded. These amounts include the amortization of intangible assets and inventory step-up, intangible asset impairment charges (including IPR&amp;D), accretion and the fair value adjustments related to contingent consideration and certain acquisition financing related costs. These costs are excluded because management believes that excluding them is helpful to understanding the underlying, ongoing operational performance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Special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related to restructuring and other actions are excluded as applicable. These amounts include items such as:</w:t>
      </w:r>
    </w:p>
    <w:p>
      <w:pPr>
        <w:spacing w:after="0" w:line="225" w:lineRule="exact"/>
        <w:rPr>
          <w:sz w:val="20"/>
          <w:szCs w:val="20"/>
          <w:color w:val="auto"/>
        </w:rPr>
      </w:pPr>
    </w:p>
    <w:p>
      <w:pPr>
        <w:ind w:left="1140" w:right="880" w:hanging="322"/>
        <w:spacing w:after="0" w:line="308"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Exit costs associated with facilities to be closed or divested, including employee separation costs, impairment charges, accelerated depreciation, incremental manufacturing variances, equipment relocation costs and other exit costs;</w:t>
      </w:r>
    </w:p>
    <w:p>
      <w:pPr>
        <w:spacing w:after="0" w:line="146" w:lineRule="exact"/>
        <w:rPr>
          <w:rFonts w:ascii="Arial" w:cs="Arial" w:eastAsia="Arial" w:hAnsi="Arial"/>
          <w:sz w:val="17"/>
          <w:szCs w:val="17"/>
          <w:color w:val="auto"/>
        </w:rPr>
      </w:pPr>
    </w:p>
    <w:p>
      <w:pPr>
        <w:ind w:left="1140" w:right="240" w:hanging="322"/>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acquisition related integration costs, as well as other costs associated with acquisitions and other optimization initiatives, which are not part of a formal restructuring program, including employee separation and post-employment costs;</w:t>
      </w:r>
    </w:p>
    <w:p>
      <w:pPr>
        <w:spacing w:after="0" w:line="170" w:lineRule="exact"/>
        <w:rPr>
          <w:rFonts w:ascii="Arial" w:cs="Arial" w:eastAsia="Arial" w:hAnsi="Arial"/>
          <w:sz w:val="18"/>
          <w:szCs w:val="18"/>
          <w:color w:val="auto"/>
        </w:rPr>
      </w:pPr>
    </w:p>
    <w:p>
      <w:pPr>
        <w:ind w:left="1140" w:right="340" w:hanging="322"/>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transition and other costs associated with the ratification of a new collective bargaining agreement in 2012 governing certain employees at our Morgantown, WV manufacturing facility, including the estimated withdrawal obligation from a multi-employer pension plan;</w:t>
      </w:r>
    </w:p>
    <w:p>
      <w:pPr>
        <w:spacing w:after="0" w:line="181" w:lineRule="exact"/>
        <w:rPr>
          <w:rFonts w:ascii="Arial" w:cs="Arial" w:eastAsia="Arial" w:hAnsi="Arial"/>
          <w:sz w:val="18"/>
          <w:szCs w:val="18"/>
          <w:color w:val="auto"/>
        </w:rPr>
      </w:pPr>
    </w:p>
    <w:p>
      <w:pPr>
        <w:ind w:left="1140" w:right="140" w:hanging="322"/>
        <w:spacing w:after="0" w:line="342"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pre-tax loss of the Company’s investment in a clean energy partnership, whose activities qualify for income tax credits under Section 45 of the U.S. Internal Revenue Code; only included in Adjusted Earnings and Adjusted EPS is the net tax effect of the entity’s activities;</w:t>
      </w:r>
    </w:p>
    <w:p>
      <w:pPr>
        <w:spacing w:after="0" w:line="123" w:lineRule="exact"/>
        <w:rPr>
          <w:rFonts w:ascii="Arial" w:cs="Arial" w:eastAsia="Arial" w:hAnsi="Arial"/>
          <w:sz w:val="16"/>
          <w:szCs w:val="16"/>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costs related to new operations and significant new alliances/business partnerships.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undertaken restructurings and other optimization initiatives of differing types, scope and amount during the covered periods and, therefore, these charges should not be considered non-recurring; however, management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excludes these amounts from Adjusted Earnings and Adjusted EPS because it believes it is helpful to understanding the underlying, ongoing operational performance of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Charges and gains related to legal matters, such as those discussed in the Notes to Consolidated Financial Statements — Note 15, “Contingencies” are excluded. Normal, ongoing defense costs of the Company made in the normal course of our business are not excluded.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Earnings and Adjusted EPS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between net earnings attributable to Mylan Inc. common shareholders and diluted earnings per share attributable to Mylan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shareholders, as reported under U.S. GAAP, and Adjusted Earnings and Adjusted EPS for the periods shown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GAAP net earnings attributable to Mylan Inc. and diluted GAAP EPS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w w:val="96"/>
              </w:rPr>
              <w:t>Purchase accounting related amortization (included in cost of sales) (a)</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364.8</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settlements, net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expense, primarily amortization of convertible debt discount</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49.8</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Non-cash accretion and fair value adjustments of contingent consideration</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Clean energy investment subsidiary pre-tax loss (b)</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related costs (included in 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Restructuring and other special items included in:</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of the above items and other income tax related items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Preferred dividend</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121.6</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Adjusted net earnings attributable to Mylan Inc. and adjusted diluted EPS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893.0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707.3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diluted common shares outstanding</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438.8</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438.4</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00" w:right="220" w:hanging="1292"/>
        <w:spacing w:after="0" w:line="277"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accounting related amortization expense for the years ended December 31, 2012 and 2011 includes in-process research and development asset impairment charges of $41.6 million and $16.2 million, respectively.</w:t>
      </w:r>
    </w:p>
    <w:p>
      <w:pPr>
        <w:spacing w:after="0" w:line="116" w:lineRule="exact"/>
        <w:rPr>
          <w:rFonts w:ascii="Arial" w:cs="Arial" w:eastAsia="Arial" w:hAnsi="Arial"/>
          <w:sz w:val="18"/>
          <w:szCs w:val="18"/>
          <w:color w:val="auto"/>
        </w:rPr>
      </w:pPr>
    </w:p>
    <w:p>
      <w:pPr>
        <w:ind w:left="1300" w:right="40" w:hanging="1292"/>
        <w:spacing w:after="0" w:line="308"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Adjustment represents exclusion of the pre-tax loss related to our investment in a clean energy partnership, the activities of which qualify for income tax credits under section 45 of the Internal Revenue Code. Amount is included in other income (expense), net.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primary source of liquidity is cash provided by operations, which was $949.0 million for the year ended December 31, 2012. We believe that cash provided by operating activities and available liquidity will continue to allow us to meet our needs for working capital, capital expenditures, interest and principal payments on debt obligations and other cash needs. Nevertheless, our ability to satisfy our working capital requirements and debt service obligations, or fund planned capital expenditures, will substantially depend upon our future operating performance (which will be affected by prevailing economic conditions), and financial, business and other factors, some of which are beyond our control.</w:t>
      </w:r>
    </w:p>
    <w:p>
      <w:pPr>
        <w:spacing w:after="0" w:line="17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Net cash provided by operating activities increased by $228.6 million to $949.0 million for the year ended December 31, 2012, as compared to net cash provided by operating activities of $720.4 million for the year ended December 31, 2011. The net increase in cash provided by operating activities was principally due to the following:</w:t>
      </w:r>
    </w:p>
    <w:p>
      <w:pPr>
        <w:spacing w:after="0" w:line="181" w:lineRule="exact"/>
        <w:rPr>
          <w:sz w:val="20"/>
          <w:szCs w:val="20"/>
          <w:color w:val="auto"/>
        </w:rPr>
      </w:pPr>
    </w:p>
    <w:p>
      <w:pPr>
        <w:ind w:left="1140" w:right="6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net earnings, combined with a net increase in the amount of non-cash expenses, totaling $265.0 million as a result of increased expenses for depreciation and amortization, post employment programs, including severance, and the accretion and fair value adjustments related to the contingent consideration liability;</w:t>
      </w:r>
    </w:p>
    <w:p>
      <w:pPr>
        <w:spacing w:after="0" w:line="181" w:lineRule="exact"/>
        <w:rPr>
          <w:rFonts w:ascii="Arial" w:cs="Arial" w:eastAsia="Arial" w:hAnsi="Arial"/>
          <w:sz w:val="18"/>
          <w:szCs w:val="18"/>
          <w:color w:val="auto"/>
        </w:rPr>
      </w:pPr>
    </w:p>
    <w:p>
      <w:pPr>
        <w:ind w:left="1140" w:right="20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net increase in operating cash flow resulting from less cash used for accounts receivable, including estimated sales allowances, of $232.7 million reflecting the timing of sales and cash collections; and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net decrease of $48.6 million in the amount of cash used through changes in inventory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items were offset by the following:</w:t>
      </w:r>
    </w:p>
    <w:p>
      <w:pPr>
        <w:spacing w:after="0" w:line="225" w:lineRule="exact"/>
        <w:rPr>
          <w:sz w:val="20"/>
          <w:szCs w:val="20"/>
          <w:color w:val="auto"/>
        </w:rPr>
      </w:pPr>
    </w:p>
    <w:p>
      <w:pPr>
        <w:ind w:left="1140" w:right="30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decrease in the amount of cash provided through changes in trade accounts payable of $52.3 million as a result of the timing of cash payments;</w:t>
      </w:r>
    </w:p>
    <w:p>
      <w:pPr>
        <w:spacing w:after="0" w:line="170"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increase in the amount of cash used through changes in income taxes of $146.9 million as a result of the level of estimated tax payments made during the current year;</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decrease in deferred revenues of $18.8 million; and</w:t>
      </w:r>
    </w:p>
    <w:p>
      <w:pPr>
        <w:spacing w:after="0" w:line="225" w:lineRule="exact"/>
        <w:rPr>
          <w:rFonts w:ascii="Arial" w:cs="Arial" w:eastAsia="Arial" w:hAnsi="Arial"/>
          <w:sz w:val="18"/>
          <w:szCs w:val="18"/>
          <w:color w:val="auto"/>
        </w:rPr>
      </w:pPr>
    </w:p>
    <w:p>
      <w:pPr>
        <w:ind w:left="1140" w:right="20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decrease in legal and professional accruals of $110.6 million ($232.7 million at December 31, 2011, as compared to $122.1 million at December 31, 2012), primarily as a result of litigation payments.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 2013, the timing of litigation settlements, income taxes and amounts due to Merck KGaA related to the anticipated income tax benefits on indemnified litigation may lead to a reduction of $100 million or more in cash flows from operations as compared to 2012.</w:t>
      </w:r>
    </w:p>
    <w:p>
      <w:pPr>
        <w:spacing w:after="0" w:line="170"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Net cash provided by operating activities decreased by $211.0 million to $720.4 million for the year ended December 31, 2011 as compared to $931.4 million for the year ended December 31, 2010. The net decrease in cash provided by operating activities was principally due to the following</w:t>
      </w:r>
      <w:r>
        <w:rPr>
          <w:rFonts w:ascii="Arial" w:cs="Arial" w:eastAsia="Arial" w:hAnsi="Arial"/>
          <w:sz w:val="16"/>
          <w:szCs w:val="16"/>
          <w:b w:val="1"/>
          <w:bCs w:val="1"/>
          <w:color w:val="auto"/>
        </w:rPr>
        <w:t>:</w:t>
      </w:r>
    </w:p>
    <w:p>
      <w:pPr>
        <w:spacing w:after="0" w:line="124" w:lineRule="exact"/>
        <w:rPr>
          <w:sz w:val="20"/>
          <w:szCs w:val="20"/>
          <w:color w:val="auto"/>
        </w:rPr>
      </w:pPr>
    </w:p>
    <w:p>
      <w:pPr>
        <w:jc w:val="both"/>
        <w:ind w:left="1140" w:right="320" w:hanging="322"/>
        <w:spacing w:after="0" w:line="342"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net increase in the amount of cash used by changes in accounts receivable of $340.7 million, as a result of higher receivable balances at December 31, 2011, due principally to the increase in sales in the fourth quarter of 2011, and cash received for deferred revenue in 2010;</w:t>
      </w:r>
    </w:p>
    <w:p>
      <w:pPr>
        <w:spacing w:after="0" w:line="123" w:lineRule="exact"/>
        <w:rPr>
          <w:rFonts w:ascii="Arial" w:cs="Arial" w:eastAsia="Arial" w:hAnsi="Arial"/>
          <w:sz w:val="16"/>
          <w:szCs w:val="16"/>
          <w:color w:val="auto"/>
        </w:rPr>
      </w:pPr>
    </w:p>
    <w:p>
      <w:pPr>
        <w:ind w:left="1140" w:right="520" w:hanging="322"/>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of an income tax refund in the first quarter of 2010 of approximately $99 million and lower income taxes paid as a result of anticipated tax benefits on indemnified litigation;</w:t>
      </w:r>
    </w:p>
    <w:p>
      <w:pPr>
        <w:spacing w:after="0" w:line="170"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increase of $125.9 million in the amount of cash used by changes in inventory balances. At December 31, 2011, inventories increased to support an expected increase in future demand combined with new product launches in 2012;</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payment, during 2011, of $60.4 million to Merck KGaA related to the income tax benefits on indemnified litigation; and</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5" w:right="31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payments for existing litigation matters totaling $80.8 million.</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These net decreases were partially offset by an increase in net earnings of $193.3 million, an increase in non-cash depreciation and amortization expense of $87.9 million, and a net increase of $110.6 million in cash provided by changes in trade accounts payable due to a corresponding increase in inventory and the timing of payments.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Cash used in investing activities was $364.2 million for the year ended December 31, 2012 as compared to cash used in investing activities of $332.0 million for the year ended December 31, 2011, an increase of $32.2 million. This increase is the result of increased capital expenditures and expenditures for product rights and licenses. During the year ended December 31, 2012, the Company paid approximately $72 million to acquire product rights and licenses, the majority of which related to two dermatological products. This cash outflow is included in other investing activities. Additionally, non-cash investing activities in 2011 included the acquisition of intangible assets through contingent consideration in the amount of approximately $341.0 million, most of which relates to our acquisition of the Respiratory Delivery Platform.</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Capital expenditures, primarily for equipment, were approximately $305.3 million in the current year. The increase as compared to 2011 is the result of expenditures related to the Respiratory Development Platform, which was acquired in 2011, and expenditures related to production capacity, platform development and technology expansions. While there can be no assurance that current expectations will be realized, we expect to continue to invest in our future growth and expect capital expenditures for 2013 to be between $300.0 million and $400.0 million.</w:t>
      </w:r>
    </w:p>
    <w:p>
      <w:pPr>
        <w:spacing w:after="0" w:line="17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Cash used in financing activities was $611.5 million for year ended December 31, 2012 as compared to cash used in financing activities of $645.0 million for the year ended December 31, 2011, a net decrease of $33.5 million. Cash used in financing activities includes the repayment of our $600 million Senior Convertible Notes, which matured in March 2012, and the quarterly payments of the U.S. Term Loans as required under the Senior Credit Agreement. Under the related credit facility, borrowings and repayments on the Revolving Facility for the year ended December 31, 2012 were $1.3 billion each. In December 2012, we completed a private placement of $750 million aggregate principal amount of 3.125% Senior Notes due 2023. In addition, we borrowed $180 million under our Receivables Facility. The proceeds of these borrowings were principally utilized to fund the Senior Convertible Note payment and the share repurchase programs discussed above.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addition, during 2012, the Company completed two share repurchase programs by purchasing approximately 41.4 million shares of common stock for approximately $1.0 billion. During 2011, the Company repurchased approximately 14.8 million shares of common stock for approximately $350 million.</w:t>
      </w:r>
    </w:p>
    <w:p>
      <w:pPr>
        <w:spacing w:after="0" w:line="12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On November 20, 2012, the Company announced that Moody’s Investors Service upgraded its corporate credit ratings to Baa3 from Ba1 and the Standard &amp; Poor’s Ratings Services upgraded its credit ratings to BBB- from BB+. This upgrade of the Company to “Investment Grade” will enhance our access to capital markets and reduce our ongoing cost of funding.</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through the refinancing of certain borrowings under the Amended and Restated Credit Agreement, dated December 20, 2007 (the “Prior Credit Agreement”), and several capital market transactions completed during the last three years, Mylan substantially improved its debt maturity schedule. The Company has approximately $95 million of long-term debt due in 2013 and approximately $125 million due in 2014. Our current intention is to repay such amounts at maturity using available liquidity. In addition, our cash and cash equivalents at our foreign subsidiaries totaled $231 million at December 31, 2012. The majority of these funds represented earnings considered to be permanently reinvested to support the growth strategies of our foreign subsidiaries.</w:t>
      </w:r>
    </w:p>
    <w:p>
      <w:pPr>
        <w:spacing w:after="0" w:line="193"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As of December 31, 2012, because the closing price of our common stock for at least 20 trading days in the period of 30 consecutive trading days ending on the last trading day in the December 31, 2012 period was more than 130% of the applicable conversion reference price of $13.32 at December 31, 2012, the $575.0 million of Cash Convertible Notes were currently convertible. During the quarter ending December 31, 2012, the Company received requests to convert $1.0 million of the Cash Convertible Notes. These requests will require the Company to pay the full conversion value in cash in March 2013. Accordingly, $1.0 million of the balance outstanding under the Cash Convertible Notes has been reclassified to short-term debt as of December 31,</w:t>
      </w:r>
    </w:p>
    <w:p>
      <w:pPr>
        <w:spacing w:after="0" w:line="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2012. Although the Company’s experience is that convertible debentures are not normally converted by investors until close to their maturity date, it is possible that additional debentures could be converted prior to their maturity date if, for example, a holder perceives the market for the debentures to be weaker than the market for the common stock. Upon an investor’s election to convert, the Company is required to pay the full conversion value in cash. The amount payable per $1,000 notional bond would be calculated as the product of (1) the conversion reference rate (currently 75.0751) and (2) the average Daily Volume Weighted Average Price per share of common stock for a specified period following the conversion date. Any payment above the principal amount is matched by a convertible note hedge. Should additional holders elect to convert, we may elect to draw on our revolving credit facility to fund any principal payments.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are involved in various legal proceedings that are considered normal to our business. While it is not possible to predict the outcome of such proceedings, an adverse outcome in any of these proceedings could materially affect our financial position and results of operations, including our operating cash flow. We have approximately $90 million accrued for such legal contingencies. Additionally, for certain contingencies assumed in conjunction with the acquisition of the former Merck Generics business, Merck KGaA, the seller, has indemnified Mylan. The inability or denial of Merck KGaA to pay on an indemnified claim could have a material adverse effect on our financial position, results of operations or cash flows.</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In addition, on an ongoing basis, we review our operations including the evaluation of potential divestitures of products and businesses as part of our future strategy. Any divestitures could impact future liquidity.</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December 31, 2012 and December 31, 2011, we had $58.0 million and $79.8 million outstanding under existing letters of credit. Additionally, as of December 31, 2012, we had $112.2 million available under the $125.0 million subfacility on our Senior Credit Agreement for the issuance of letters of credit.</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borrowings under the term loans and notes at December 31, 2012, excluding the discounts, premium and conversion features, are as follows for each of the periods ending December 31: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Convertible</w:t>
            </w:r>
          </w:p>
        </w:tc>
        <w:tc>
          <w:tcPr>
            <w:tcW w:w="240" w:type="dxa"/>
            <w:vAlign w:val="bottom"/>
          </w:tcPr>
          <w:p>
            <w:pPr>
              <w:spacing w:after="0"/>
              <w:rPr>
                <w:sz w:val="14"/>
                <w:szCs w:val="14"/>
                <w:color w:val="auto"/>
              </w:rPr>
            </w:pPr>
          </w:p>
        </w:tc>
        <w:tc>
          <w:tcPr>
            <w:tcW w:w="88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U.S. Term Loans</w:t>
            </w:r>
          </w:p>
        </w:tc>
        <w:tc>
          <w:tcPr>
            <w:tcW w:w="14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Senior</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Senior</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Senior</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Senior</w:t>
            </w:r>
          </w:p>
        </w:tc>
        <w:tc>
          <w:tcPr>
            <w:tcW w:w="280" w:type="dxa"/>
            <w:vAlign w:val="bottom"/>
          </w:tcPr>
          <w:p>
            <w:pPr>
              <w:spacing w:after="0"/>
              <w:rPr>
                <w:sz w:val="12"/>
                <w:szCs w:val="12"/>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Notes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Notes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93,750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94,752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187,500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573,998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761,498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1,156,250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800,000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4,831,250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Senior Credit Agreement contains customary affirmative covenants for facilities of this type, including among others, covenants pertaining to the delivery of financial statements, notices of default and certain material events, maintenance of business and insurance, collateral matters and compliance with laws, as well as customary negative covenants for facilities of this type, including limitations on the incurrence of indebtedness and liens, mergers and certain other fundamental changes, investments and loans, acquisitions, transactions with affiliates, dispositions of assets, payments of dividends and other restricted payments, prepayments or amendments to the terms of specified indebtedness and changes in our lines of business. The Senior Credit Agreement contains a financial covenant requiring maintenance of a maximum consolidated leverage ratio. We have been compliant with the financial covenant during 2012, and we expect to remain in compliance for the next twelve months.</w:t>
      </w:r>
    </w:p>
    <w:p>
      <w:pPr>
        <w:spacing w:after="0" w:line="1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February 2012, Mylan Pharmaceuticals Inc. (“MPI”), a wholly owned subsidiary of the Company, entered into a receivable securitization facility (the “Receivables Facility”) of up to $300 million, which was expanded to $400 million in July 2012. Pursuant to the terms of the Receivables Facility, MPI transfers certain of its domestic receivables, related assets and collections, on an ongoing basis, to Mylan Securitization LLC (“Mylan Securitization”), a wholly owned bankruptcy remote subsidiary. In turn, from time to time, Mylan Securitization sells its interests in such receivables, related assets and collections to certain conduit purchasers, committed purchasers and letter of credit issuers in exchange for cash or letters of credit. Mylan Securitization maintains a subordinated interest, in the form of over collateralization, in a portion of the receivables sold. The receivables underlying any borrowings are included in accounts receivable, net, in the Consolidated Balance Sheets. 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December 31, 2012, there were $180 million of short-term borrowings outstanding under the Receivables Facility, which are recorded as a secured loan and included in short-term borrowings in the Consolidated Balance Sheets.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fair value measurement of contingent consideration is determined using Level 3 inputs. The measurement is calculated using unobservable inputs based on the Company’s own assumptions. Significant unobservable inputs in the valuation include the probability and timing of future development and commercial milestones and future profit sharing payments. A discounted cash flow method was used to value contingent consideration at December 31, 2012 and 2011, which was calculated as the present value of the estimated future net cash flows using a market rate of return at December 31, 2012 and 2011. Discount rates ranging from 1.6% to 10.5% were utilized in the valuation. Significant changes in unobservable inputs could result in material changes to the contingent consideration liability.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2012 and the effect that such obligations are expected to have on our liquidity and cash flows in future periods: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One- Three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Three- Five</w:t>
            </w:r>
          </w:p>
        </w:tc>
        <w:tc>
          <w:tcPr>
            <w:tcW w:w="260" w:type="dxa"/>
            <w:vAlign w:val="bottom"/>
          </w:tcPr>
          <w:p>
            <w:pPr>
              <w:spacing w:after="0"/>
              <w:rPr>
                <w:sz w:val="14"/>
                <w:szCs w:val="14"/>
                <w:color w:val="auto"/>
              </w:rPr>
            </w:pPr>
          </w:p>
        </w:tc>
        <w:tc>
          <w:tcPr>
            <w:tcW w:w="12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One Year</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4,831,382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94,752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886,630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1,750,000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Scheduled interest payments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1,447,352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262,969</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1,653,955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417,433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322,443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336,189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577,890</w:t>
            </w: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8,047,963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769,706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1,717,258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2,958,929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2,602,070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Other commitments include agreements to purchase third-party manufactured products and open purchase orders at December 31, 2012.</w:t>
      </w:r>
    </w:p>
    <w:p>
      <w:pPr>
        <w:spacing w:after="0" w:line="20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chart above does not include short-term borrowings held by Mylan India in the amount of approximately $118.8 million, which represent working capital facilities with several banks and are secured first by Mylan India’s current assets and second by Mylan India’s property, plant and equipment and has a weighted average interest rate of 4.7%. Additionally, due to the uncertainty with respect to the timing of future cash flows associated with our unrecognized tax benefits at December 31, 2012, we are unable to make reasonably reliable estimates of the period of cash settlement with the respective taxing authority. As such, $132.3 million of unrecognized tax benefits have been excluded from the contractual obligations table above.</w:t>
      </w:r>
    </w:p>
    <w:p>
      <w:pPr>
        <w:spacing w:after="0" w:line="1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lease certain property under various operating lease arrangements that expire generally over the next five years. These leases generally provide us with the option to renew the lease at the end of the lease term.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December 31, 2012, the $1.14 billion of debt related to the Cash Convertible Notes reported in our financial statements consists of $500.5 million of debt ($575.0 million face amount, net of $74.5 million discount) and a liability with a fair value of $636.3 million related to the bifurcated conversion feature. The bifurcated conversion feature is not included in contractual obligations as there is an offsetting hedge asset.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Scheduled interest payments represent the estimated interest payments related to our outstanding borrowings under term loans, notes and other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Variable debt interest payments are estimated using current interest rates.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contractually obligated to make potential future development, regulatory and commercial milestone, royalty and/or profit sharing payments in conjunction with collaborative agreements or acquisitions we have entered into with third parties. The most significant of these relates to the potential future consideration related to the Respiratory Delivery Platform. These payments are contingent upon the occurrence of certain future events and, given the nature of these events, it is unclear when, if ever, we may be required to pay such amounts. These contingent payments have not been included in the table above. The amount of contingent consideration accrued was $379.2 million at December 31, 2012. In addition, the Company expects to incur approximately $30 million to $40 million of annual non-cash accretion expense related to the increase in the net present value of the contingent consideration liability.</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entered into an exclusive collaboration on the development, manufacturing, supply and commercialization of multiple, high value generic biologic compounds for the global marketplace. Mylan plans to provide funding related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collaboration over the next several years that could total approximately $50 million or more per year. Additionally, we have entered into product development agreements under which we have agreed to share in the development costs as they are incurred by our partners and/or pay milestones. As the timing of cash expenditures is dependent upon a number of factors, many of which are outside of our control, it is difficult to forecast the amount of payments to be made over the next few years, which could be significant.</w:t>
      </w:r>
    </w:p>
    <w:p>
      <w:pPr>
        <w:spacing w:after="0" w:line="18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periodically enter into licensing agreements with other pharmaceutical companies for the manufacture, marketing and/or sale of pharmaceutical products. These agreements generally call for us to pay a percentage of amounts earned from the sale of the product as a royalty on a profit share.</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Mylan sponsors various defined benefit pension plans in several countries. Benefit formulas are based on varying criteria on a plan by plan basis. We fund non-domestic pension liabilities in accordance with laws and regulations applicable to those plans, which typically results in these plans being unfunded. The amount accrued related to these benefits was $61.2 million at December 31, 2012. In addition, we have accrued $15.4 million at December 31, 2012 as a result our intention to withdrawal from a multi-employer pension plan. We are unable to determine when these amounts will require payment as the timing of cash expenditures is dependent upon a number of factors, many of which are outside of our control.</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entered into employment and other agreements with certain executives and other employees that provide for compensation and certain other benefits. These agreements provide for severance payments under certain circumstances. Certain commercial agreements require us to provide performance bonds and/or indemnifications; while it is difficult to forecast the amount of payments, if any, to be made over the next few years, we do not believe the amount would be material to our results of operations, cash flows or financial position.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Currency Fluctuations and Inflation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Because Mylan’s results are reported in U.S. Dollars, changes in the rate of exchange between the U.S. Dollar and the local currencies in the markets in which Mylan operates, mainly the Euro, Australian Dollar, Indian Rupee, Japanese Yen, Canadian Dollar, and Pound Sterling, affect Mylan’s results as noted previously.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significant accounting policies are described in Note 2 to Consolidated Financial Statements and were prepared in accordance with accounting principles generally accepted in the United States of America (“GAAP”).</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intangible assets, goodwill and contingent consideration, income taxes, and the impact of existing 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Provisions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Net revenues are recognized for product sales when title and risk of loss have transferred to the customer and when provisions for estimates, including discounts, sales allowances, price adjustments, returns, chargebacks and other promotional programs are reasonably determinable. Accruals for these provisions are presented in the Consolidated Financial Statements as reductions in determining net revenues and in accounts receivable and other current liabilities. Accounts receivable are presented net of allowances relating to these provisions, which were $977.0 million and $763.0 million at December 31, 2012 and 2011. Other current liabilities include $202.9 million and $147.9 million at December 31, 2012 and 2011, for certain sales allowances and other adjustments that are paid to indirect customers. The following is a rollforward of the most significant provisions for estimated sales allowances during 2012: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Checks/ Credits</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Current Provision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Related to</w:t>
            </w:r>
          </w:p>
        </w:tc>
        <w:tc>
          <w:tcPr>
            <w:tcW w:w="12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Effects of Foreign</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w w:val="95"/>
              </w:rPr>
              <w:t>December 31, 2011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Issued to Third</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Sales Made in the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5"/>
              </w:rPr>
              <w:t>Current Period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Exchange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Chargebacks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246,673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2,345,398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268,471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Incentives offered to direct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334,709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(1,518,914)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1,671,260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487,662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Returns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128,633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161,064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156,987</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do not anticipate any significant changes to the methodologies that we use to measure chargebacks, incentives offered to direct customers or returns; however, the balances within these reserves can fluctuate significantly through the consistent application of our methodologies. In the current year, accruals for incentives offered to direct customers increased as a result of an increase in related sales and overall higher rebate rates, mainly in response to the competitive environment in various markets. Historically, we have not recorded in any current period any material amounts related to adjustments made to prior period reserves. Should any material amounts from any prior period be recorded in any current period such amounts will be disclosed.</w:t>
      </w:r>
    </w:p>
    <w:p>
      <w:pPr>
        <w:spacing w:after="0" w:line="15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Provisions for estimated discounts, sales allowances, promotional and other credits require a lower degree of subjectivity and are less complex in nature, yet, combined, represent a significant portion of the overall provisions. These provisions are estimated based on historical payment experience, historical relationships to revenues, estimated customer inventory levels and contract terms. Such provisions are determinable due to the limited number of assumptions and consistency of historical experience. Others, such as chargebacks and returns, require management to make more subjective judgments and evaluate current market conditions. These provisions are discussed in further detail below.</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 The provision for chargebacks is the most significant and complex estimate used in the recognition of revenue. Mylan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directly to wholesalers, distributors, retail pharmacy chains, mail order pharmacies and group purchasing organizations. We also market products indirectly to independent pharmacies, managed care organizations, hospitals, nursing homes and pharmacy benefit management companies, collectively referred to as “indirect customers.” Mylan enters into agreements with its indirect customers to establish contract pricing for certain products. The indirect customers then independently select a wholesaler from which to actually purchase the products at these contracted prices. Alternatively, certain wholesalers may enter into agreements with indirect customers that establish contract pricing for certain products, which the wholesalers provide. Under either arrangement, Mylan will provide credit to the wholesaler for any difference between the contracted price with the indirect party and the wholesaler’s invoice price. Such credit is called a chargeback, while the difference between the contracted price and the wholesaler’s invoice price is referred to as the chargeback rate. The provision for chargebacks is based on expected sell-through levels by our wholesaler customers to indirect customers, as well as estimated wholesaler inventory levels. For the latter, in most cases, inventory levels are obtained directly from certain of our largest wholesalers. Additionally, internal estimates are prepared based upon historical buying patterns and estimated end-user demand. Such information allows us to estimate the potential chargeback that we may ultimately owe to our customers given the quantity of inventory on hand. We continually monitor our provision for chargebacks and evaluate our reserve and estimates as additional information becomes available. A change of 5% in the estimated sell-through levels by our wholesaler customers and in the estimated wholesaler inventory levels would have an effect on our reserve balance of approximately $15 million.</w:t>
      </w:r>
    </w:p>
    <w:p>
      <w:pPr>
        <w:spacing w:after="0" w:line="17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 xml:space="preserve">Returns </w:t>
      </w:r>
      <w:r>
        <w:rPr>
          <w:rFonts w:ascii="Arial" w:cs="Arial" w:eastAsia="Arial" w:hAnsi="Arial"/>
          <w:sz w:val="17"/>
          <w:szCs w:val="17"/>
          <w:color w:val="auto"/>
        </w:rPr>
        <w:t>— Consistent with industry practice, we maintain a return policy that allows our customers to return product within a specified period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and subsequent to the expiration date. Although application of the policy varies from country to country in accordance with local practices, generally, product may be returned for a period beginning six months prior to its expiration date to up to one year after its expiration date. The majority of our product returns occurs as a result of product dating, which falls within the range set by our policy, and are settled through the issuance of a credit to our customer. Although the introduction of additional generic competition does not give our customers the right to return product outside of our established policy, we do recognize that such competition could ultimately lead to increased returns. We analyze this on a case-by-case basis, when significant, and make adjustments to increase our reserve for product returns as necessary. Our estimate of the provision for returns is based upon our historical experience with actual returns, which is applied to the level of sales for the period that corresponds to the period during which our customers may return product. This period is known by us based on the shelf lives of our products at the time of shipment. Additionally, we consider factors such as levels of inventory in the distribution channel, product dating and expiration period, size and maturity of the market prior to a product launch, entrance into the market of additional generic competition, changes in formularies or launch of over-the-counter products, and make adjustments to the provision for returns in the event that it appears that actual product returns may differ from our established reserves. We obtain data with respect to the level of inventory in the channel directly from certain of our largest customers.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change of 5% in the estimated product return rate used in our calculation of our return reserve would have an effect on our reserve balance of approximately $8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Goodwill and Contingent Consideration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account for acquired businesses using the purchase method of accounting, which requires that the assets acquired and liabilities assumed be recorded at the date of acquisition at their respective estimated fair values. The cost to acquire a business has been allocated to the underlying net assets of the acquired business based on estimates of their respective fair values. Amounts allocated to acquired in-process research and development (“IPR&amp;D”) are capitalized at the date of an acquisition and, at the time, such IPR&amp;D assets have indefinite lives. As products in development are approved for sale, amounts will be allocated to product rights and licenses and will be amortized over their estimated useful lives. Definite-lived intangible assets are amortized over the expected life of the asset. Any excess of the purchase price over the estimated fair values of the net assets acquired is recorded as goodwill.</w:t>
      </w:r>
    </w:p>
    <w:p>
      <w:pPr>
        <w:spacing w:after="0" w:line="16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contingent consideration resulting from a business combination at its fair value on the acquisition date. Each reporting period thereafter, we revalue these obligations and record increases or decreases in their fair value as an adjustment to contingent consideration expense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judgment is employed in determining the assumptions utilized as of the acquisition date and for each subsequent measurement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changes in assumptions described above, could have a material impact on our consolidated results of operations.</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Goodwill and intangible assets, including IPR&amp;D, are reviewed for impairment annually and/or when events or other changes in circumstances indicate that the carrying amount of the assets may not be recoverable. Impairment of goodwill and indefinite-lived intangibles is determined to exist when the fair value is less than the carrying value of the net assets being tested. Impairment of definite-lived intangibles is determined to exist when undiscounted cash flows related to the assets are less than the carrying value of the assets being tested. Future events and decisions may lead to asset impairment and/or related costs.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Goodwill is allocated among and evaluated for impairment at the reporting unit level, which is defined as an operating segment or one level below an operating segment. Mylan has four reporting units, of which three are included in the Generics Segment with the remaining reporting unit consisting of our Specialty Segment. As of the date of our most recent annual impairment test, April 1, 2012, approximately 91% of Mylan’s total goodwill is allocated to the three reporting units within the Generics Segment as follows: North America ($779 million), EMEA ($1.15 billion) and Asia Pacific ($1.27 billion), with the remainder ($322 million) allocated to our Specialty Segment and reporting unit.</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2011, the FASB issued amended guidance on goodwill impairment testing. Under the revised guidance, entities testing goodwill for impairment have the option of performing a qualitative assessment before calculating the fair value of the reporting unit (“step 1”). We have adopted the guidance effective January 1, 2012 and performed the qualitative assessment for our North America and Specialty reporting units as part of our annual impairment test. We concluded that it was more likely than not that the fair value of the North America and Specialty reporting units is greater than the carrying amount, therefore no step 1 quantitative analysis was performed. Step 1 of the impairment analysis consists of a comparison of the estimated fair value of the individual reporting units with their carrying amount, including goodwill. In estimating each reporting unit’s fair value, we performed extensive valuation analysis, utilizing both income and market-based approaches, in our goodwill assessment process. We utilize an average of the two methods in estimating the fair value of the individual reporting units. The following describes the valuation methodologies used to derive the estimated fair value of the reporting units.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 Under this approach to determine fair value, we discounted the expected future cash flows of each reporting unit. We used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which reflected the overall level of inherent risk and the rate of return an outside investor would have expected to earn. To estimate cash flows beyond the final year of our model, we used a terminal value approach. Under this approach, we used estimated earnings before interest, taxes, depreciation and amortization (“EBITDA”) in the final year of our model, adjusted to estimate a normalized cash flow, applied a perpetuity growth assumption, and discounted by a perpetuity discount factor to determine the terminal value. We incorporated the present value of the resulting terminal value into our estimate of fair value.</w:t>
      </w:r>
    </w:p>
    <w:p>
      <w:pPr>
        <w:spacing w:after="0" w:line="19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Market-Based Approach</w:t>
      </w:r>
      <w:r>
        <w:rPr>
          <w:rFonts w:ascii="Arial" w:cs="Arial" w:eastAsia="Arial" w:hAnsi="Arial"/>
          <w:sz w:val="16"/>
          <w:szCs w:val="16"/>
          <w:color w:val="auto"/>
        </w:rPr>
        <w:t>: The Company also utilizes a market-based approach to estimate fair value, principally utilizing the guideline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which focuses on comparing our risk profile and growth prospects to a select group of publicly traded companies with reasonably similar guidelines.</w:t>
      </w:r>
    </w:p>
    <w:p>
      <w:pPr>
        <w:spacing w:after="0" w:line="12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performed its annual impairment test as of April 1, 2012, and the estimated fair value of the two reporting units tested, Asia Pacific and EMEA, were in excess of the carrying value of these reporting units. For the Asia Pacific reporting unit, the estimated fair value of this business exceeded its carrying value by approximately 15%. The Asia Pacific reporting unit has been impacted by government pricing reform measures in Australia and Japan and increased levels of competition. As it relates to the income approach for the Asia Pacific unit, we forecasted cash flows for the next ten years. During the forecast period, the revenue compound annual growth rate (“CAGR”) was approximately 8%. A terminal value year was calculated with a 4% revenue growth rate. The CAGR in EBITDA margins was approximately 3% over the period of estimated cash flows. The discount rate utilized was 10.9%. Under the market-based approach, we utilized an estimated range of market multiples of 9.0 to 10.0 times EBITDA plus a control premium of 10%. The averaging of the two valuation methods did not significantly impact the estimated fair value of the Asia Pacific reporting unit.</w:t>
      </w:r>
    </w:p>
    <w:p>
      <w:pPr>
        <w:spacing w:after="0" w:line="166"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it relates to the income approach for the EMEA reporting unit at April 1, 2012, we forecasted cash flows for the next ten years. During the forecast period, the revenue CAGR was approximately 9%. A terminal value year was calculated with a 2% revenue growth rate. The discount rate utilized was 9.5%. Under the market-based approach, we utilized an estimated range of market multiples of 8.5 to 10.0 times EBITDA plus a control premium of 15%. The estimated fair value of the EMEA reporting unit exceeded its carrying value by approximately 30%.</w:t>
      </w:r>
    </w:p>
    <w:p>
      <w:pPr>
        <w:spacing w:after="0" w:line="17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Due to declining actual and projected revenue and cash flows in the Asia Pacific and EMEA reporting units, the Company concluded that potential goodwill impairment indicators existed as of December 31, 2012. As a result, the Company performed an interim goodwill impairment analysis during the fourth quarter of 2012.</w:t>
      </w:r>
    </w:p>
    <w:p>
      <w:pPr>
        <w:spacing w:after="0" w:line="18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As it relates to the Asia Pacific reporting unit, the significant assumptions utilized in the interim goodwill impairment test performed in the fourth quarter were consistent with the annual impairment test. The interim impairment test included updated projected operating results, and the discount rate utilized was 11.0%. The estimated fair value of this reporting unit exceeded its carrying value by approximately 10% at December 31, 2012.</w:t>
      </w:r>
    </w:p>
    <w:p>
      <w:pPr>
        <w:spacing w:after="0" w:line="14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As it relates to the EMEA reporting unit, the significant assumptions utilized in the interim goodwill impairment test performed in the fourth quarter were consistent with the annual impairment test. The interim impairment test included updated projected operating results, and the discount rate utilized was 9.6%. The estimated fair value of this reporting unit exceeded its carrying value by approximately 20% at December 31, 2012.</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determination of the fair value of the reporting units requires us to make significant estimates and assumptions that affect the reporting unit’s expected future cash flows. These estimates and assumptions primarily include, but are not limited to, market multiples, control premiums, the discount rate, terminal growth rates, operating income before depreciation and amortization, and capital expenditures forecasts. 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the event the estimated fair value of a reporting unit is less than the carrying value, additional analysis would be required. The additional analysis would compare the carrying amount of the reporting unit’s goodwill with the implied fair value of that goodwill. The implied fair value of goodwill is the excess of the fair value of the reporting unit over the fair value amounts assigned to all of the assets and liabilities of that unit as if the reporting unit was acquired in a business combination and the fair value of the reporting unit represented the purchase price. If the carrying value of goodwill exceeds its implied fair value, an impairment loss equal to such excess would be recognized, which would likely materially impact the Company’s reported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result of the interim goodwill impairment test performed for the Asia Pacific and EMEA reporting units, we have also assessed the recoverability of certain long-lived assets contained with these two reporting units. Any impairment of these assets must be considered prior to our impairment review of goodwill. The assessment for impairment is based on our ability to recover the carrying value of the long-lived assets by analyzing the expected future undiscounted pre-tax cash flows specific to the asset grouping.</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assess the recoverability of the carrying value of long-lived assets at the lowest level for which identifiable undiscounted cash flows are largely independent of the cash flows of other assets and liabilities. For the Asia Pacific and EMEA reporting units, this assessment is generally performed at the country level within the reporting units. If these cash flows are less than the carrying value of long-lived assets within the asset group, an impairment loss is measured based on the difference between the estimated fair value and carrying value. 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grouping. The results of our analysis performed in the fourth quarter of 2012 indicate that the undiscounted pre-tax cash flows in the individual asset groupings were sufficient to support the recoverability of the long-lived assets. Certain asset groupings in the Asia Pacific reporting unit, principally Japan and Australia, and the EMEA reporting unit, principally Portugal, Spain and Germany, remain at risk for potential impairment charges if the projected operating results are not achieved. Any future long-lived assets impairment charges would likely materially impact the Company’s reported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compute our income taxes based on the statutory tax rates and tax planning opportunities available to Mylan in the various jurisdictions in which we generate income. Significant judgment is required in determining our income taxes and in evaluating our tax positions. We establish reserves in accordance with Mylan’s policy regarding accounting for uncertainty in income taxes. Our policy provides that the tax effects from an uncertain tax position be recognized in Mylan’s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2012. Such objective evidence limits the ability to consider other subjective evidence such as our projections for future growth.</w:t>
      </w:r>
    </w:p>
    <w:p>
      <w:pPr>
        <w:spacing w:after="0" w:line="187"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Based on this evaluation, as of December 31, 2012, a valuation allowance of $249.4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w:t>
      </w:r>
    </w:p>
    <w:p>
      <w:pPr>
        <w:spacing w:after="0" w:line="17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resolution of tax reserves and changes in valuation allowances could be material to Mylan’s results of operations or financial position. A variance of 5% between estimated reserves and valuation allowances and actual resolution and realization of these tax items would have an effect on our reserve balance and valuation allowance of approximately $7 million and $12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Mylan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financial position, results of operations, and our cash flow, such estimates are considered to be critical accounting estimates.</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variance of 5% between estimated and recorded litigation reserves (excluding indemnified claims) and actual resolution of certain legal matters would have an effect on our litigation reserve balance of approximately $5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June and December 2011, the Financial Accounting Standards Board issued revised accounting guidance for the presentation of comprehensive income. Under this guidance, an entity has the option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a part of the statement of changes in stockholders’ equity. The amended guidance is effective for fiscal years beginning after December 15, 2011, and it must be applied retrospectively. The Company adopted the guidance during the year ended December 31, 2012, with retrospective application to the years ended December 31, 2011 and 2010 by presenting the Consolidated Statements of Comprehensive Earnings. The adoption of the guidance did not have a material effect on our results of operations, financial position or cash flows.</w:t>
      </w:r>
    </w:p>
    <w:p>
      <w:pPr>
        <w:spacing w:after="0" w:line="3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Foreign exchange risk is also managed through the use of foreign currency forward-exchange contracts. These contracts are used to offset the potential earnings effects from mostly intercompany foreign currency assets and liabilities that arise from operations and from intercompany loans. Mylan’s primary areas of foreign exchange risk relative to the U.S. Dollar are the Euro, Indian Rupee, Japanese Yen, Australian Dollar, Canadian Dollar, and Pound Sterling.</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financial instrument holdings at year end were analyzed to determine their sensitivity to foreign exchange rate changes. The fair values of these instruments were determined as follows:</w:t>
      </w:r>
    </w:p>
    <w:p>
      <w:pPr>
        <w:spacing w:after="0" w:line="62"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forward-exchange contracts — net present values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denominated receivables, payables, debt and loans — changes in exchange rates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this sensitivity analysis, we assumed that the change in one currency’s rate relative to the U.S. dollar would not have an effect on other currencies’ rates relative to the U.S. dollar. All other factors were held constant.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there were an adverse change in foreign currency exchange rates of 10%, the expected net effect on net income related to Mylan’s foreign currency denominated financial instruments would not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Long-Term Debt Risk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Mylan’s exposure to interest rate risk arises primarily from our U.S. Dollar borrowings and investments. We invest primarily on a variable-rate basis, and we borrow on both a fixed and variable basis. In order to maintain a certain ratio of fixed to variable rate debt, from time to time, depending on market conditions, Mylan will use derivative financial instruments such as interest rate swaps to fix interest rates on variable-rate borrowings or to convert fixed-rate borrowings to variable interest rates.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Mylan’s long-term borrowings consist principally of $1.16 billion in U.S. dollar denominated loans under our Senior Credit Agreement, $575.0 million notional value in Cash Convertible Notes and $3.10 billion in Senior Notes.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Generally, the fair value of fixed interest rate debt will decrease as interest rates rise and increase as interest rates fall. The fair value of the Cash Convertible Notes will fluctuate as the market value of our common stock fluctuates. As of December 31, 2012, the fair value of our Senior Notes was approximately $3.43 billion, and the fair value of our Cash Convertible Notes was approximately $1.22 billion. A 100 basis point change in interest rates on Mylan’s variable rate debt, net of interest rate swaps, would result in a change in interest expense of approximately $11 million per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available-for-sale securities, investments are made in overnight deposits, highly rated money market funds and marketable securities with maturities of less than three months. These instruments are classified as cash equivalents for financial reporting purposes and have minimal or no interest rate risk due to their short-term nature.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9940" w:type="dxa"/>
            <w:vAlign w:val="bottom"/>
            <w:gridSpan w:val="1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120" w:type="dxa"/>
            <w:vAlign w:val="bottom"/>
            <w:gridSpan w:val="11"/>
          </w:tcPr>
          <w:p>
            <w:pPr>
              <w:ind w:left="1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w w:val="89"/>
              </w:rPr>
              <w:t>Index to Consolidated Financial Statements and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6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2"/>
              </w:rPr>
              <w:t>Supplementary Financial Information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Management’s Report on Internal Control over Financial Reporting</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Reports of Independent Registered Public Accounting Firm</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640" w:type="dxa"/>
            <w:vAlign w:val="bottom"/>
            <w:gridSpan w:val="6"/>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Consolidated Balance Sheets as of December 31, 2012 and 2011</w:t>
              </w:r>
            </w:hyperlink>
          </w:p>
        </w:tc>
        <w:tc>
          <w:tcPr>
            <w:tcW w:w="52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00" w:type="dxa"/>
            <w:vAlign w:val="bottom"/>
            <w:gridSpan w:val="9"/>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Consolidated Statements of Operations for the Years Ended December 31, 2012, 2011 and 2010</w:t>
              </w:r>
            </w:hyperlink>
          </w:p>
        </w:tc>
        <w:tc>
          <w:tcPr>
            <w:tcW w:w="300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Consolidated Statements of Comprehensive Earnings for the Years Ended December 31, 2012, 2011 and 2010</w:t>
              </w:r>
            </w:hyperlink>
          </w:p>
        </w:tc>
        <w:tc>
          <w:tcPr>
            <w:tcW w:w="198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920" w:type="dxa"/>
            <w:vAlign w:val="bottom"/>
            <w:gridSpan w:val="1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Equity for the Years Ended December 31, 2012, 2011 and 2010</w:t>
              </w:r>
            </w:hyperlink>
          </w:p>
        </w:tc>
        <w:tc>
          <w:tcPr>
            <w:tcW w:w="198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Consolidated Statements of Cash Flows for the Years Ended December 31, 2012, 2011 and 2010</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0" w:type="dxa"/>
            <w:vAlign w:val="bottom"/>
            <w:gridSpan w:val="6"/>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40" w:type="dxa"/>
            <w:vAlign w:val="bottom"/>
            <w:gridSpan w:val="10"/>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Notes to Consolidated Financial Statements</w:t>
              </w:r>
            </w:hyperlink>
          </w:p>
        </w:tc>
        <w:tc>
          <w:tcPr>
            <w:tcW w:w="296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77</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140" w:type="dxa"/>
            <w:vAlign w:val="bottom"/>
            <w:gridSpan w:val="4"/>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Supplementary Financial Information</w:t>
              </w:r>
            </w:hyperlink>
          </w:p>
        </w:tc>
        <w:tc>
          <w:tcPr>
            <w:tcW w:w="676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16">
              <w:r>
                <w:rPr>
                  <w:rFonts w:ascii="Arial" w:cs="Arial" w:eastAsia="Arial" w:hAnsi="Arial"/>
                  <w:sz w:val="18"/>
                  <w:szCs w:val="18"/>
                  <w:color w:val="0000FF"/>
                </w:rPr>
                <w:t>117</w:t>
              </w:r>
            </w:hyperlink>
          </w:p>
        </w:tc>
      </w:tr>
      <w:tr>
        <w:trPr>
          <w:trHeight w:val="507"/>
        </w:trPr>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gridSpan w:val="2"/>
          </w:tcPr>
          <w:p>
            <w:pPr>
              <w:spacing w:after="0"/>
              <w:rPr>
                <w:sz w:val="24"/>
                <w:szCs w:val="24"/>
                <w:color w:val="auto"/>
              </w:rPr>
            </w:pPr>
          </w:p>
        </w:tc>
        <w:tc>
          <w:tcPr>
            <w:tcW w:w="3880" w:type="dxa"/>
            <w:vAlign w:val="bottom"/>
            <w:gridSpan w:val="5"/>
          </w:tcPr>
          <w:p>
            <w:pPr>
              <w:jc w:val="center"/>
              <w:ind w:left="1970"/>
              <w:spacing w:after="0"/>
              <w:rPr>
                <w:sz w:val="20"/>
                <w:szCs w:val="20"/>
                <w:color w:val="auto"/>
              </w:rPr>
            </w:pPr>
            <w:r>
              <w:rPr>
                <w:rFonts w:ascii="Arial" w:cs="Arial" w:eastAsia="Arial" w:hAnsi="Arial"/>
                <w:sz w:val="18"/>
                <w:szCs w:val="18"/>
                <w:color w:val="auto"/>
                <w:w w:val="89"/>
              </w:rPr>
              <w:t>66</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Management of Mylan Inc. (the “Company”)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 xml:space="preserve">In conducting its December 31, 2012 assessment, management used the criteria set forth by the Committee of Sponsoring Organizations of the Treadway Commission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(“COSO”). As a result of this assessment and based on the criteria in the COSO framework, management has concluded that, as of December 31, 2012, the Company’s internal control over financial reporting was effective.</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Our independent registered public accounting firm, Deloitte &amp; Touche LLP, has audited the effectiveness of the Company’s internal control over financial reporting. Deloitte &amp; Touche LLP’s opinion on the Company’s internal control over financial reporting appears on page 69 of this Form 10-K.</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125"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5180"/>
        <w:spacing w:after="0" w:line="45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Shareholders of Mylan Inc.:</w:t>
      </w:r>
    </w:p>
    <w:p>
      <w:pPr>
        <w:spacing w:after="0" w:line="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audited the accompanying consolidated balance sheets of Mylan Inc. and subsidiaries (the “Company”) as of December 31, 2012 and 2011, and the related consolidated statements of operations, comprehensive earnings, equity, and cash flows for each of the three years in the period ended December 31, 2012. Our audits also included the consolidated financial statement schedule listed in the Index at Item 15. These consolidated financial statements and consolidated financial statement schedule are the responsibility of the Company's management. Our responsibility is to express an opinion on the consolidated financial statements and consolidated financial statement schedule based on our audits.</w:t>
      </w:r>
    </w:p>
    <w:p>
      <w:pPr>
        <w:spacing w:after="0" w:line="13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Mylan Inc. and subsidiaries as of December 31, 2012 and 2011, and the results of their operations and their cash flows for each of the three years in the period ended December 31, 2012, in conformity with accounting principles generally accepted in the United States of America. Also, in our opinion, such consolidated financial statement schedule, when considered in relation to the basic consolidated financial statements taken as a whole, presents fairly, in all material respects, the information set forth therein.</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27, 2013 expressed an unqualified opinion on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125" w:right="2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5240"/>
        <w:spacing w:after="0" w:line="45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Shareholders of Mylan Inc.:</w:t>
      </w:r>
    </w:p>
    <w:p>
      <w:pPr>
        <w:spacing w:after="0" w:line="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Mylan Inc. and subsidiaries (the “Company”)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1"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3"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consolidated financial statement schedule as of and for the year ended December 31, 2012 of the Company and our report dated February 27, 2013 expressed an unqualified opinion on those consolidated financial statements and consolidated financial statement schedule.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2012</w:t>
            </w:r>
          </w:p>
        </w:tc>
        <w:tc>
          <w:tcPr>
            <w:tcW w:w="220" w:type="dxa"/>
            <w:vAlign w:val="bottom"/>
          </w:tcPr>
          <w:p>
            <w:pPr>
              <w:spacing w:after="0"/>
              <w:rPr>
                <w:sz w:val="16"/>
                <w:szCs w:val="16"/>
                <w:color w:val="auto"/>
              </w:rPr>
            </w:pPr>
          </w:p>
        </w:tc>
        <w:tc>
          <w:tcPr>
            <w:tcW w:w="160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350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349,969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375,056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1,554,342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1,426,438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1,525,242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1,396,742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202,899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243,816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167,709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3,568,844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1,397,216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1,298,034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2,224,457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2,630,747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3,515,655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3,517,935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804,197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543,207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11,931,897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11,598,143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68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703,235</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298,987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128,054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long-term debt and other long-term obligations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98,048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691,614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983,546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996,158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2,193,503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2,563,156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5,337,196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4,479,080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742,210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income tax liability</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274,259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308,915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8,576,069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8,093,361</w:t>
            </w:r>
          </w:p>
        </w:tc>
        <w:tc>
          <w:tcPr>
            <w:tcW w:w="0" w:type="dxa"/>
            <w:vAlign w:val="bottom"/>
          </w:tcPr>
          <w:p>
            <w:pPr>
              <w:spacing w:after="0"/>
              <w:rPr>
                <w:sz w:val="1"/>
                <w:szCs w:val="1"/>
                <w:color w:val="auto"/>
              </w:rPr>
            </w:pPr>
          </w:p>
        </w:tc>
      </w:tr>
      <w:tr>
        <w:trPr>
          <w:trHeight w:val="223"/>
        </w:trPr>
        <w:tc>
          <w:tcPr>
            <w:tcW w:w="7660" w:type="dxa"/>
            <w:vAlign w:val="bottom"/>
          </w:tcPr>
          <w:p>
            <w:pPr>
              <w:ind w:left="180"/>
              <w:spacing w:after="0"/>
              <w:rPr>
                <w:sz w:val="20"/>
                <w:szCs w:val="20"/>
                <w:color w:val="auto"/>
              </w:rPr>
            </w:pPr>
            <w:r>
              <w:rPr>
                <w:rFonts w:ascii="Arial" w:cs="Arial" w:eastAsia="Arial" w:hAnsi="Arial"/>
                <w:sz w:val="18"/>
                <w:szCs w:val="18"/>
                <w:color w:val="auto"/>
              </w:rPr>
              <w:t>Equity</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Mylan Inc.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600"/>
              <w:spacing w:after="0"/>
              <w:rPr>
                <w:sz w:val="20"/>
                <w:szCs w:val="20"/>
                <w:color w:val="auto"/>
              </w:rPr>
            </w:pPr>
            <w:r>
              <w:rPr>
                <w:rFonts w:ascii="Arial" w:cs="Arial" w:eastAsia="Arial" w:hAnsi="Arial"/>
                <w:sz w:val="18"/>
                <w:szCs w:val="18"/>
                <w:color w:val="auto"/>
              </w:rPr>
              <w:t>Common stock — par value $0.50 per share</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Shares authorized: 1,500,000,000</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820"/>
              <w:spacing w:after="0"/>
              <w:rPr>
                <w:sz w:val="20"/>
                <w:szCs w:val="20"/>
                <w:color w:val="auto"/>
              </w:rPr>
            </w:pPr>
            <w:r>
              <w:rPr>
                <w:rFonts w:ascii="Arial" w:cs="Arial" w:eastAsia="Arial" w:hAnsi="Arial"/>
                <w:sz w:val="18"/>
                <w:szCs w:val="18"/>
                <w:color w:val="auto"/>
                <w:w w:val="94"/>
              </w:rPr>
              <w:t>Shares issued: 539,664,386 and 530,315,453 as of December 31, 2012 and December 31,</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82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269,832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265,158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3,986,746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3,795,373</w:t>
            </w:r>
          </w:p>
        </w:tc>
        <w:tc>
          <w:tcPr>
            <w:tcW w:w="0" w:type="dxa"/>
            <w:vAlign w:val="bottom"/>
          </w:tcPr>
          <w:p>
            <w:pPr>
              <w:spacing w:after="0"/>
              <w:rPr>
                <w:sz w:val="1"/>
                <w:szCs w:val="1"/>
                <w:color w:val="auto"/>
              </w:rPr>
            </w:pPr>
          </w:p>
        </w:tc>
      </w:tr>
      <w:tr>
        <w:trPr>
          <w:trHeight w:val="243"/>
        </w:trPr>
        <w:tc>
          <w:tcPr>
            <w:tcW w:w="7660" w:type="dxa"/>
            <w:vAlign w:val="bottom"/>
          </w:tcPr>
          <w:p>
            <w:pPr>
              <w:ind w:left="6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2,061,370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1,420,520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(87,839)</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6,231,450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5,393,212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243"/>
        </w:trPr>
        <w:tc>
          <w:tcPr>
            <w:tcW w:w="7660" w:type="dxa"/>
            <w:vAlign w:val="bottom"/>
          </w:tcPr>
          <w:p>
            <w:pPr>
              <w:ind w:left="600"/>
              <w:spacing w:after="0"/>
              <w:rPr>
                <w:sz w:val="20"/>
                <w:szCs w:val="20"/>
                <w:color w:val="auto"/>
              </w:rPr>
            </w:pPr>
            <w:r>
              <w:rPr>
                <w:rFonts w:ascii="Arial" w:cs="Arial" w:eastAsia="Arial" w:hAnsi="Arial"/>
                <w:sz w:val="18"/>
                <w:szCs w:val="18"/>
                <w:color w:val="auto"/>
              </w:rPr>
              <w:t>Less: treasury stock — at cost</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Shares: 144,459,210 and 103,637,016 as of December 31, 2012 and</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December 31, 2011</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2,890,732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1,901,437</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3,355,828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3,504,782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11,931,897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11,598,143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6,750,246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6,106,277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5,404,266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46,256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6,796,110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6,129,825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5,450,522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3,887,806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3,566,461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3,233,125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2,908,304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2,563,364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2,217,397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401,341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294,728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282,146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1,086,609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Litigation settlements,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127,058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1,798,955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1,557,915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1,495,813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1,109,349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1,005,449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721,584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308,699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(34,178)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 and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355,944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161,145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115,833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538,803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345,542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earnings attributable to the noncontrolling interest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Mylan Inc. before preferred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121,535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Mylan Inc.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640,850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536,810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223,580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 attributable to Mylan Inc. common shareholders: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415,210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430,839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324,453</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420,236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438,785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328,979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345,542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 (loss), before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131,438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Change in unrecognized loss and prior service cost related to defined benefit plans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unrecognized gain (loss) on 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(loss) gain on marketable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earnings (loss),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176,313</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Income tax related to items of other comprehensive earnings (loss)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16,253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earnings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160,060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644,275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279,097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505,602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earnings attributable to the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earnings attributable to Mylan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642,191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277,104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505,175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154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Preferred Stock</w:t>
            </w:r>
          </w:p>
        </w:tc>
        <w:tc>
          <w:tcPr>
            <w:tcW w:w="1780" w:type="dxa"/>
            <w:vAlign w:val="bottom"/>
            <w:gridSpan w:val="4"/>
          </w:tcPr>
          <w:p>
            <w:pPr>
              <w:ind w:left="380"/>
              <w:spacing w:after="0" w:line="158" w:lineRule="exact"/>
              <w:rPr>
                <w:sz w:val="20"/>
                <w:szCs w:val="20"/>
                <w:color w:val="auto"/>
              </w:rPr>
            </w:pPr>
            <w:r>
              <w:rPr>
                <w:rFonts w:ascii="Arial" w:cs="Arial" w:eastAsia="Arial" w:hAnsi="Arial"/>
                <w:sz w:val="14"/>
                <w:szCs w:val="14"/>
                <w:b w:val="1"/>
                <w:bCs w:val="1"/>
                <w:color w:val="auto"/>
              </w:rPr>
              <w:t>Common Stock</w:t>
            </w: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ind w:left="500"/>
              <w:spacing w:after="0" w:line="158"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vMerge w:val="restart"/>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22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Earnings (Loss)</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3"/>
        </w:trPr>
        <w:tc>
          <w:tcPr>
            <w:tcW w:w="1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w:t>
            </w: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December 31,</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2009</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2,139,000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$ 1,070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396,683,892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5"/>
              </w:rPr>
              <w:t>$198,342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$3,834,674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660,130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(90,199,152)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 (1,574,877)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14,052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$3,145,198</w:t>
            </w:r>
          </w:p>
        </w:tc>
        <w:tc>
          <w:tcPr>
            <w:tcW w:w="0" w:type="dxa"/>
            <w:vAlign w:val="bottom"/>
          </w:tcPr>
          <w:p>
            <w:pPr>
              <w:spacing w:after="0"/>
              <w:rPr>
                <w:sz w:val="1"/>
                <w:szCs w:val="1"/>
                <w:color w:val="auto"/>
              </w:rPr>
            </w:pPr>
          </w:p>
        </w:tc>
      </w:tr>
      <w:tr>
        <w:trPr>
          <w:trHeight w:val="264"/>
        </w:trPr>
        <w:tc>
          <w:tcPr>
            <w:tcW w:w="10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345,115</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345,542</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comprehensive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earnings, net of</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160,060</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Stock options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5"/>
              </w:rPr>
              <w:t>exercised, net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6"/>
              </w:rPr>
              <w:t>shares tendered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for payment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3,899,484</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52,703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54,653</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(2,139,000)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5"/>
              </w:rPr>
              <w:t>125,234,173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62,617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Stock</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31,385</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restricted stock,</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net of shares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withheld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492,065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Tax benefit of</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stock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plans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7,253</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on</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preferred shares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(121,535)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(121,535)</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Purchase of</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subsidiary</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shares from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noncontrolling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interest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(5,452)</w:t>
            </w:r>
          </w:p>
        </w:tc>
        <w:tc>
          <w:tcPr>
            <w:tcW w:w="0" w:type="dxa"/>
            <w:vAlign w:val="bottom"/>
          </w:tcPr>
          <w:p>
            <w:pPr>
              <w:spacing w:after="0"/>
              <w:rPr>
                <w:sz w:val="1"/>
                <w:szCs w:val="1"/>
                <w:color w:val="auto"/>
              </w:rPr>
            </w:pPr>
          </w:p>
        </w:tc>
      </w:tr>
      <w:tr>
        <w:trPr>
          <w:trHeight w:val="276"/>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37"/>
        </w:trPr>
        <w:tc>
          <w:tcPr>
            <w:tcW w:w="1040" w:type="dxa"/>
            <w:vAlign w:val="bottom"/>
          </w:tcPr>
          <w:p>
            <w:pPr>
              <w:ind w:left="40"/>
              <w:spacing w:after="0" w:line="137" w:lineRule="exact"/>
              <w:rPr>
                <w:sz w:val="20"/>
                <w:szCs w:val="20"/>
                <w:color w:val="auto"/>
              </w:rPr>
            </w:pPr>
            <w:r>
              <w:rPr>
                <w:rFonts w:ascii="Arial" w:cs="Arial" w:eastAsia="Arial" w:hAnsi="Arial"/>
                <w:sz w:val="14"/>
                <w:szCs w:val="14"/>
                <w:color w:val="auto"/>
              </w:rPr>
              <w:t>Balance at</w:t>
            </w: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December 31,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w w:val="95"/>
              </w:rPr>
              <w:t>525,817,549</w:t>
            </w: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w w:val="95"/>
              </w:rPr>
              <w:t>$262,909</w:t>
            </w:r>
          </w:p>
        </w:tc>
        <w:tc>
          <w:tcPr>
            <w:tcW w:w="12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w w:val="94"/>
              </w:rPr>
              <w:t>$3,849,682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883,710</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(89,707,087)</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w w:val="96"/>
              </w:rPr>
              <w:t>$ (1,566,289)</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171,867</w:t>
            </w:r>
          </w:p>
        </w:tc>
        <w:tc>
          <w:tcPr>
            <w:tcW w:w="10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13,522</w:t>
            </w:r>
          </w:p>
        </w:tc>
        <w:tc>
          <w:tcPr>
            <w:tcW w:w="10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w w:val="96"/>
              </w:rPr>
              <w:t>$3,615,401</w:t>
            </w:r>
          </w:p>
        </w:tc>
        <w:tc>
          <w:tcPr>
            <w:tcW w:w="0" w:type="dxa"/>
            <w:vAlign w:val="bottom"/>
          </w:tcPr>
          <w:p>
            <w:pPr>
              <w:spacing w:after="0"/>
              <w:rPr>
                <w:sz w:val="1"/>
                <w:szCs w:val="1"/>
                <w:color w:val="auto"/>
              </w:rPr>
            </w:pPr>
          </w:p>
        </w:tc>
      </w:tr>
      <w:tr>
        <w:trPr>
          <w:trHeight w:val="181"/>
        </w:trPr>
        <w:tc>
          <w:tcPr>
            <w:tcW w:w="1040" w:type="dxa"/>
            <w:vAlign w:val="bottom"/>
          </w:tcPr>
          <w:p>
            <w:pPr>
              <w:ind w:left="40"/>
              <w:spacing w:after="0"/>
              <w:rPr>
                <w:sz w:val="20"/>
                <w:szCs w:val="20"/>
                <w:color w:val="auto"/>
              </w:rPr>
            </w:pPr>
            <w:r>
              <w:rPr>
                <w:rFonts w:ascii="Arial" w:cs="Arial" w:eastAsia="Arial" w:hAnsi="Arial"/>
                <w:sz w:val="14"/>
                <w:szCs w:val="14"/>
                <w:color w:val="auto"/>
              </w:rPr>
              <w:t>2010</w:t>
            </w:r>
          </w:p>
        </w:tc>
        <w:tc>
          <w:tcPr>
            <w:tcW w:w="88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1540" w:type="dxa"/>
            <w:vAlign w:val="bottom"/>
            <w:gridSpan w:val="5"/>
          </w:tcPr>
          <w:p>
            <w:pPr>
              <w:ind w:left="240"/>
              <w:spacing w:after="0" w:line="158" w:lineRule="exact"/>
              <w:rPr>
                <w:sz w:val="20"/>
                <w:szCs w:val="20"/>
                <w:color w:val="auto"/>
              </w:rPr>
            </w:pPr>
            <w:r>
              <w:rPr>
                <w:rFonts w:ascii="Arial" w:cs="Arial" w:eastAsia="Arial" w:hAnsi="Arial"/>
                <w:sz w:val="14"/>
                <w:szCs w:val="14"/>
                <w:b w:val="1"/>
                <w:bCs w:val="1"/>
                <w:color w:val="auto"/>
              </w:rPr>
              <w:t>Preferred Stock</w:t>
            </w:r>
          </w:p>
        </w:tc>
        <w:tc>
          <w:tcPr>
            <w:tcW w:w="1780" w:type="dxa"/>
            <w:vAlign w:val="bottom"/>
            <w:gridSpan w:val="5"/>
          </w:tcPr>
          <w:p>
            <w:pPr>
              <w:ind w:left="380"/>
              <w:spacing w:after="0" w:line="158" w:lineRule="exact"/>
              <w:rPr>
                <w:sz w:val="20"/>
                <w:szCs w:val="20"/>
                <w:color w:val="auto"/>
              </w:rPr>
            </w:pPr>
            <w:r>
              <w:rPr>
                <w:rFonts w:ascii="Arial" w:cs="Arial" w:eastAsia="Arial" w:hAnsi="Arial"/>
                <w:sz w:val="14"/>
                <w:szCs w:val="14"/>
                <w:b w:val="1"/>
                <w:bCs w:val="1"/>
                <w:color w:val="auto"/>
              </w:rPr>
              <w:t>Common Stock</w:t>
            </w:r>
          </w:p>
        </w:tc>
        <w:tc>
          <w:tcPr>
            <w:tcW w:w="9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ind w:left="500"/>
              <w:spacing w:after="0" w:line="158"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4"/>
                <w:szCs w:val="4"/>
                <w:color w:val="auto"/>
              </w:rPr>
            </w:pPr>
          </w:p>
        </w:tc>
        <w:tc>
          <w:tcPr>
            <w:tcW w:w="700" w:type="dxa"/>
            <w:vAlign w:val="bottom"/>
            <w:vMerge w:val="restart"/>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22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Earnings (Loss)</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83"/>
        </w:trPr>
        <w:tc>
          <w:tcPr>
            <w:tcW w:w="104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536,810</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538,803</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comprehensive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net of tax</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(259,706)</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Common stock</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w w:val="89"/>
              </w:rPr>
              <w:t>share repurchase</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(14,773,006)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(349,998)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(349,998)</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amendment and</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exchange</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(149,947)</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Stock options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5"/>
              </w:rPr>
              <w:t>exercised, net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6"/>
              </w:rPr>
              <w:t>shares tendered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for payment</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4,497,904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65,489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67,738</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42,576</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9"/>
              </w:rPr>
              <w:t>restricted stock,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net of 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withheld</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843,077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14,850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(6,123)</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stock option</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11,153</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Purchase of</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subsidiary</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shares from</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interest</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(4,992)</w:t>
            </w:r>
          </w:p>
        </w:tc>
        <w:tc>
          <w:tcPr>
            <w:tcW w:w="0" w:type="dxa"/>
            <w:vAlign w:val="bottom"/>
          </w:tcPr>
          <w:p>
            <w:pPr>
              <w:spacing w:after="0"/>
              <w:rPr>
                <w:sz w:val="1"/>
                <w:szCs w:val="1"/>
                <w:color w:val="auto"/>
              </w:rPr>
            </w:pPr>
          </w:p>
        </w:tc>
      </w:tr>
      <w:tr>
        <w:trPr>
          <w:trHeight w:val="276"/>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37"/>
        </w:trPr>
        <w:tc>
          <w:tcPr>
            <w:tcW w:w="1040" w:type="dxa"/>
            <w:vAlign w:val="bottom"/>
          </w:tcPr>
          <w:p>
            <w:pPr>
              <w:ind w:left="40"/>
              <w:spacing w:after="0" w:line="137"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December 31,</w:t>
            </w:r>
          </w:p>
        </w:tc>
        <w:tc>
          <w:tcPr>
            <w:tcW w:w="8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w w:val="95"/>
              </w:rPr>
              <w:t>530,315,453</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w w:val="90"/>
              </w:rPr>
              <w:t>265,158</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3,795,373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1,420,520</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w w:val="94"/>
              </w:rPr>
              <w:t>(103,637,016)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4"/>
              </w:rPr>
              <w:t>(1,901,437)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(87,839)</w:t>
            </w:r>
          </w:p>
        </w:tc>
        <w:tc>
          <w:tcPr>
            <w:tcW w:w="10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13,007</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w w:val="93"/>
              </w:rPr>
              <w:t>3,504,782</w:t>
            </w:r>
          </w:p>
        </w:tc>
        <w:tc>
          <w:tcPr>
            <w:tcW w:w="0" w:type="dxa"/>
            <w:vAlign w:val="bottom"/>
          </w:tcPr>
          <w:p>
            <w:pPr>
              <w:spacing w:after="0"/>
              <w:rPr>
                <w:sz w:val="1"/>
                <w:szCs w:val="1"/>
                <w:color w:val="auto"/>
              </w:rPr>
            </w:pPr>
          </w:p>
        </w:tc>
      </w:tr>
      <w:tr>
        <w:trPr>
          <w:trHeight w:val="181"/>
        </w:trPr>
        <w:tc>
          <w:tcPr>
            <w:tcW w:w="1040" w:type="dxa"/>
            <w:vAlign w:val="bottom"/>
          </w:tcPr>
          <w:p>
            <w:pPr>
              <w:ind w:left="40"/>
              <w:spacing w:after="0"/>
              <w:rPr>
                <w:sz w:val="20"/>
                <w:szCs w:val="20"/>
                <w:color w:val="auto"/>
              </w:rPr>
            </w:pPr>
            <w:r>
              <w:rPr>
                <w:rFonts w:ascii="Arial" w:cs="Arial" w:eastAsia="Arial" w:hAnsi="Arial"/>
                <w:sz w:val="14"/>
                <w:szCs w:val="14"/>
                <w:color w:val="auto"/>
              </w:rPr>
              <w:t>2011</w:t>
            </w:r>
          </w:p>
        </w:tc>
        <w:tc>
          <w:tcPr>
            <w:tcW w:w="8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1540" w:type="dxa"/>
            <w:vAlign w:val="bottom"/>
            <w:gridSpan w:val="5"/>
          </w:tcPr>
          <w:p>
            <w:pPr>
              <w:ind w:left="240"/>
              <w:spacing w:after="0" w:line="158" w:lineRule="exact"/>
              <w:rPr>
                <w:sz w:val="20"/>
                <w:szCs w:val="20"/>
                <w:color w:val="auto"/>
              </w:rPr>
            </w:pPr>
            <w:r>
              <w:rPr>
                <w:rFonts w:ascii="Arial" w:cs="Arial" w:eastAsia="Arial" w:hAnsi="Arial"/>
                <w:sz w:val="14"/>
                <w:szCs w:val="14"/>
                <w:b w:val="1"/>
                <w:bCs w:val="1"/>
                <w:color w:val="auto"/>
              </w:rPr>
              <w:t>Preferred Stock</w:t>
            </w:r>
          </w:p>
        </w:tc>
        <w:tc>
          <w:tcPr>
            <w:tcW w:w="1780" w:type="dxa"/>
            <w:vAlign w:val="bottom"/>
            <w:gridSpan w:val="5"/>
          </w:tcPr>
          <w:p>
            <w:pPr>
              <w:ind w:left="380"/>
              <w:spacing w:after="0" w:line="158" w:lineRule="exact"/>
              <w:rPr>
                <w:sz w:val="20"/>
                <w:szCs w:val="20"/>
                <w:color w:val="auto"/>
              </w:rPr>
            </w:pPr>
            <w:r>
              <w:rPr>
                <w:rFonts w:ascii="Arial" w:cs="Arial" w:eastAsia="Arial" w:hAnsi="Arial"/>
                <w:sz w:val="14"/>
                <w:szCs w:val="14"/>
                <w:b w:val="1"/>
                <w:bCs w:val="1"/>
                <w:color w:val="auto"/>
              </w:rPr>
              <w:t>Common Stock</w:t>
            </w:r>
          </w:p>
        </w:tc>
        <w:tc>
          <w:tcPr>
            <w:tcW w:w="9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ind w:left="500"/>
              <w:spacing w:after="0" w:line="158"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restart"/>
          </w:tcPr>
          <w:p>
            <w:pPr>
              <w:ind w:left="40"/>
              <w:spacing w:after="0" w:line="13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4"/>
                <w:szCs w:val="4"/>
                <w:color w:val="auto"/>
              </w:rPr>
            </w:pPr>
          </w:p>
        </w:tc>
        <w:tc>
          <w:tcPr>
            <w:tcW w:w="700" w:type="dxa"/>
            <w:vAlign w:val="bottom"/>
            <w:vMerge w:val="restart"/>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5"/>
                <w:szCs w:val="5"/>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0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Earnings (Loss)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640,850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642,934</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Other</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comprehensive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earnings, net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tax</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share repurchase</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(41,398,647)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(999,893)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(999,893)</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Stock options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5"/>
              </w:rPr>
              <w:t>exercised, net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6"/>
              </w:rPr>
              <w:t>shares tendered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for payment</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9,348,933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4,674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139,209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143,883</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compensation</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42,579</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9"/>
              </w:rPr>
              <w:t>restricted stock,</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net of 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withheld</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576,454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of</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stock option</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25,232</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Purchase of</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subsidiary</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shares from</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noncontrolling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interest</w:t>
            </w: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7"/>
        </w:trPr>
        <w:tc>
          <w:tcPr>
            <w:tcW w:w="1040" w:type="dxa"/>
            <w:vAlign w:val="bottom"/>
          </w:tcPr>
          <w:p>
            <w:pPr>
              <w:ind w:left="40"/>
              <w:spacing w:after="0" w:line="137" w:lineRule="exact"/>
              <w:rPr>
                <w:sz w:val="20"/>
                <w:szCs w:val="20"/>
                <w:color w:val="auto"/>
              </w:rPr>
            </w:pPr>
            <w:r>
              <w:rPr>
                <w:rFonts w:ascii="Arial" w:cs="Arial" w:eastAsia="Arial" w:hAnsi="Arial"/>
                <w:sz w:val="14"/>
                <w:szCs w:val="14"/>
                <w:color w:val="auto"/>
              </w:rPr>
              <w:t>Balance at</w:t>
            </w: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December 31,</w:t>
            </w:r>
          </w:p>
        </w:tc>
        <w:tc>
          <w:tcPr>
            <w:tcW w:w="8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w w:val="95"/>
              </w:rPr>
              <w:t>539,664,386</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w w:val="90"/>
              </w:rPr>
              <w:t>269,832</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3,986,746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2,061,370</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w w:val="94"/>
              </w:rPr>
              <w:t>(144,459,209)</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4"/>
              </w:rPr>
              <w:t>(2,890,732)</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(86,498)</w:t>
            </w:r>
          </w:p>
        </w:tc>
        <w:tc>
          <w:tcPr>
            <w:tcW w:w="10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15,110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w w:val="93"/>
              </w:rPr>
              <w:t>3,355,828</w:t>
            </w:r>
          </w:p>
        </w:tc>
        <w:tc>
          <w:tcPr>
            <w:tcW w:w="0" w:type="dxa"/>
            <w:vAlign w:val="bottom"/>
          </w:tcPr>
          <w:p>
            <w:pPr>
              <w:spacing w:after="0"/>
              <w:rPr>
                <w:sz w:val="1"/>
                <w:szCs w:val="1"/>
                <w:color w:val="auto"/>
              </w:rPr>
            </w:pPr>
          </w:p>
        </w:tc>
      </w:tr>
      <w:tr>
        <w:trPr>
          <w:trHeight w:val="181"/>
        </w:trPr>
        <w:tc>
          <w:tcPr>
            <w:tcW w:w="1040" w:type="dxa"/>
            <w:vAlign w:val="bottom"/>
          </w:tcPr>
          <w:p>
            <w:pPr>
              <w:ind w:left="40"/>
              <w:spacing w:after="0"/>
              <w:rPr>
                <w:sz w:val="20"/>
                <w:szCs w:val="20"/>
                <w:color w:val="auto"/>
              </w:rPr>
            </w:pPr>
            <w:r>
              <w:rPr>
                <w:rFonts w:ascii="Arial" w:cs="Arial" w:eastAsia="Arial" w:hAnsi="Arial"/>
                <w:sz w:val="14"/>
                <w:szCs w:val="14"/>
                <w:color w:val="auto"/>
              </w:rPr>
              <w:t>2012</w:t>
            </w:r>
          </w:p>
        </w:tc>
        <w:tc>
          <w:tcPr>
            <w:tcW w:w="8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642,934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538,803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345,542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546,604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510,688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422,788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31,385</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Change in estimated sales allowances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265,532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non-cash items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235,985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93,175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127,058</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21,865</w:t>
            </w:r>
          </w:p>
        </w:tc>
        <w:tc>
          <w:tcPr>
            <w:tcW w:w="0" w:type="dxa"/>
            <w:vAlign w:val="bottom"/>
          </w:tcPr>
          <w:p>
            <w:pPr>
              <w:spacing w:after="0"/>
              <w:rPr>
                <w:sz w:val="1"/>
                <w:szCs w:val="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(94,728)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23,021</w:t>
            </w:r>
          </w:p>
        </w:tc>
        <w:tc>
          <w:tcPr>
            <w:tcW w:w="0" w:type="dxa"/>
            <w:vAlign w:val="bottom"/>
          </w:tcPr>
          <w:p>
            <w:pPr>
              <w:spacing w:after="0"/>
              <w:rPr>
                <w:sz w:val="1"/>
                <w:szCs w:val="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20,247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23,626</w:t>
            </w:r>
          </w:p>
        </w:tc>
        <w:tc>
          <w:tcPr>
            <w:tcW w:w="0" w:type="dxa"/>
            <w:vAlign w:val="bottom"/>
          </w:tcPr>
          <w:p>
            <w:pPr>
              <w:spacing w:after="0"/>
              <w:rPr>
                <w:sz w:val="1"/>
                <w:szCs w:val="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Other operating assets and liabilities,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720,424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931,404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(192,792)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Change in restricted cash</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acquisitions,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(562,765)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marketable securities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(332,041)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(725,410)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(139,035)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financing fees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paid for warrant amendment and exchange</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(149,947)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Change in short-term borrowings,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2,043,448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2,356,633</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Payment of long-term debt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(1,990,796)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(1,644,198)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(2,115,402)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54,653</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items,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100,350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Effect on cash of changes in exchange rates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281,536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375,056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662,052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380,516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349,969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662,052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disclosures of cash flow information —</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440" w:type="dxa"/>
            <w:vAlign w:val="bottom"/>
          </w:tcPr>
          <w:p>
            <w:pPr>
              <w:ind w:left="380"/>
              <w:spacing w:after="0"/>
              <w:rPr>
                <w:sz w:val="20"/>
                <w:szCs w:val="20"/>
                <w:color w:val="auto"/>
              </w:rPr>
            </w:pPr>
            <w:r>
              <w:rPr>
                <w:rFonts w:ascii="Arial" w:cs="Arial" w:eastAsia="Arial" w:hAnsi="Arial"/>
                <w:sz w:val="18"/>
                <w:szCs w:val="18"/>
                <w:color w:val="auto"/>
              </w:rPr>
              <w:t>Other long-term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376,110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308,544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124,123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114,809</w:t>
            </w: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144,176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761"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Inc.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Mylan Inc. and its subsidiaries (the “Company,” “Mylan,” “our” or “we”) are engaged in the global development, licensing, manufacture, marketing and distribution of generic, brand and branded generic pharmaceutical products for resale by others and active pharmaceutical ingredients (“API”) through two segments, “Generics” and “Specialty.” The principal markets for Generics are proprietary and ethical pharmaceutical wholesalers and distributors, group purchasing organizations, drug store chains, independent pharmacies, drug manufacturers, institutions, and public and governmental agencies primarily within the United States (“U.S.”) and Canada (collectively, “North America”), Europe, the Middle East and Africa (collectively, “EMEA”), and India, Australia, Japan and New Zealand (collectively, “Asia Pacific”). Generics also focuses on developing API with non-infringing processes for both internal use and to partner with manufacturers in regulated markets such as the U.S. and the European Union (“EU”) at market formation. The principal market for Specialty is pharmaceutical wholesalers and distributors, pharmacies and health care institutions primarily in the U.S.</w:t>
      </w:r>
    </w:p>
    <w:p>
      <w:pPr>
        <w:spacing w:after="0" w:line="37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Mylan Inc.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 Noncontrolling interests in the Company’s subsidiaries are recorded net of tax as net earnings attributable to noncontrolling interests. Certain comparative figures have been reclassified to conform to the current year presentation.</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in the Preparation of Financial Statements. </w:t>
      </w:r>
      <w:r>
        <w:rPr>
          <w:rFonts w:ascii="Arial" w:cs="Arial" w:eastAsia="Arial" w:hAnsi="Arial"/>
          <w:sz w:val="17"/>
          <w:szCs w:val="17"/>
          <w:color w:val="auto"/>
        </w:rPr>
        <w:t>The preparation of financial statements, in conformity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Foreign Currencies. </w:t>
      </w:r>
      <w:r>
        <w:rPr>
          <w:rFonts w:ascii="Arial" w:cs="Arial" w:eastAsia="Arial" w:hAnsi="Arial"/>
          <w:sz w:val="16"/>
          <w:szCs w:val="16"/>
          <w:color w:val="auto"/>
        </w:rPr>
        <w:t>The Consolidated Financial Statements are presented in U.S. Dollars, the reporting currency of Mylan. Statements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are comprised of highly liquid investments with an original maturity of three months or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date of purchase.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Marketable equity and debt securities classified as available-for-sale are recorded at fair value, with net unrealized gains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net of income taxes, reflected in accumulated other comprehensive loss as a component of shareholders’ equity. Net realized gains and losses on sales of available-for-sale securities are computed on a specific security basis and are included in other income (expense), net, in the Consolidated Statements of Operations. Marketable equity and debt securities classified as trading securities are valued at the quoted market price from broker or dealer quotations or transparent pricing sources at the reporting date, and realized and unrealized gains and losses are included in other income (expense), net, in the Consolidated Statements of Operations.</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the Company to credit risk consist principally of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derivatives and accounts receivable.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Mylan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transactions, and it does not expect to incur a loss from failure of any counterparties to perform under agreements it has with such counterparties.</w:t>
      </w:r>
    </w:p>
    <w:p>
      <w:pPr>
        <w:spacing w:after="0" w:line="23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Mylan performs ongoing credit evaluations of its customers and generally does not require collateral. Approximately 38% and 40% of the accounts receivable balances represent amounts due from three customers at December 31, 2012 and December 31, 2011, respectively. Total allowances for doubtful accounts were $23.0 million and $18.9 million at December 31, 2012 and December 31, 2011, respectively.</w:t>
      </w:r>
    </w:p>
    <w:p>
      <w:pPr>
        <w:spacing w:after="0" w:line="18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market, with cost determined by the first-in, first-out method. Provisions for potentially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obsolete or slow-moving inventory, including pre-launch inventory, are made based on our analysis of inventory levels, historical obsolescence and future sales forecasts.</w:t>
      </w:r>
    </w:p>
    <w:p>
      <w:pPr>
        <w:spacing w:after="0" w:line="181" w:lineRule="exact"/>
        <w:rPr>
          <w:sz w:val="20"/>
          <w:szCs w:val="20"/>
          <w:color w:val="auto"/>
        </w:rPr>
      </w:pPr>
    </w:p>
    <w:p>
      <w:pPr>
        <w:ind w:right="5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Property, Plant and Equipment. </w:t>
      </w:r>
      <w:r>
        <w:rPr>
          <w:rFonts w:ascii="Arial" w:cs="Arial" w:eastAsia="Arial" w:hAnsi="Arial"/>
          <w:sz w:val="16"/>
          <w:szCs w:val="16"/>
          <w:color w:val="auto"/>
        </w:rPr>
        <w:t>Property, plant and equipment are stated at cost less accumulated depreciation. Depreciation is computed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on a straight-line basis over the assets’ estimated service lives (three to 18 years for machinery and equipment and other fixed assets and 15 to</w:t>
      </w:r>
    </w:p>
    <w:p>
      <w:pPr>
        <w:ind w:right="240"/>
        <w:spacing w:after="0" w:line="255" w:lineRule="auto"/>
        <w:rPr>
          <w:sz w:val="20"/>
          <w:szCs w:val="20"/>
          <w:color w:val="auto"/>
        </w:rPr>
      </w:pPr>
      <w:r>
        <w:rPr>
          <w:rFonts w:ascii="Arial" w:cs="Arial" w:eastAsia="Arial" w:hAnsi="Arial"/>
          <w:sz w:val="18"/>
          <w:szCs w:val="18"/>
          <w:color w:val="auto"/>
        </w:rPr>
        <w:t>39 years for buildings and improvements). The Company periodically reviews the original estimated useful lives of assets and makes adjustments when appropriate. Depreciation expense was approximately $160.2 million, $152.8 million and $132.5 million for the years ended December 31, 2012, 2011 and 2010, respectively.</w:t>
      </w:r>
    </w:p>
    <w:p>
      <w:pPr>
        <w:spacing w:after="0" w:line="19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Intangible Assets and Goodwill. </w:t>
      </w:r>
      <w:r>
        <w:rPr>
          <w:rFonts w:ascii="Arial" w:cs="Arial" w:eastAsia="Arial" w:hAnsi="Arial"/>
          <w:sz w:val="18"/>
          <w:szCs w:val="18"/>
          <w:color w:val="auto"/>
        </w:rPr>
        <w:t>Intangible assets are stated at cost less accumulated amortization. Amortization is generally recorded on a straight-line basis over estimated useful lives ranging from five to 20 years. The Company periodically reviews the original estimated useful lives of intangible assets and makes adjustments when events indicate that a shorter life is appropriate.</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accounts for acquired businesses using the purchase method of accounting, which requires that the assets acquired and liabilities assumed be recorded at the date of acquisition at their respective fair values. The cost to acquire a business is allocated to the underlying net assets of the acquired business in proportion to their respective fair values. Amounts allocated to acquired in-process research and development (“IPR&amp;D”) are capitalized at the date of an acquisition and, at the time, such IPR&amp;D assets have indefinite lives. As products in development are approved for sale, amounts will be allocated to product rights and licenses and will be amortized over their estimated useful lives. Definite-lived intangible assets are amortized over the expected life of the asset. Any excess of the purchase price over the estimated fair values of the net assets acquired is recorded as goodwill.</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review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new authoritative guidance issued by the Financial Accounting Standards Board (“FASB”), we have the option to first assess the qualitative factors to determine whether it is more likely than not that the fair value of the reporting unit is less than its carrying amount as a basis for determining whether it is necessary to perform the two-step goodwill impairment test. If we determine that it is more likely than not that the fair value of a reporting unit is less than its carrying amount, then the two-step goodwill impairment test is performed. The first step,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w:t>
      </w:r>
    </w:p>
    <w:p>
      <w:pPr>
        <w:spacing w:after="0" w:line="19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judgments made in determining the estimated fair value assigned to each class of assets acquired and liabilities assumed, as well as asset lives, can materially impact the Company’s results of operations. Fair values and useful lives are determined based on, among other factors, the expected future period of benefit of the asset, the various characteristics of the asset and projected cash flows.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Mylan records contingent consideration resulting from a business combination at its fair value on the acquisition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reporting period thereafter, the Company revalues these obligations and records increases or decreases in their fair value as an adjustment to contingent consideration expense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judgment is employed in determining the assumptions utilized as of the acquisition date and for each subsequent measurement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changes in the assumptions described above could have a material impact on the Company’s consolidated results of operations.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carrying values of long-lived assets, which include property, plant and equipment and intangible assets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finite lives, are evaluated periodically in relation to the expected future cash flows of the underlying assets and monitored for other potential triggering events. Adjustments are made in the event that estimated undiscounted net cash flows are less than the carrying value.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Indefinite-lived intangibles, principally IPR&amp;D, are tested at least annually for impairment or upon the occurrence of a triggering event. The impairment test for IPR&amp;D consists of a comparison of the asset’s fair value with its carrying value. Impairment is determined to exist when the fair value is less than the carrying value of the assets being tested.</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i w:val="1"/>
          <w:iCs w:val="1"/>
          <w:color w:val="auto"/>
        </w:rPr>
        <w:t xml:space="preserve">Short-Term Borrowings. </w:t>
      </w:r>
      <w:r>
        <w:rPr>
          <w:rFonts w:ascii="Arial" w:cs="Arial" w:eastAsia="Arial" w:hAnsi="Arial"/>
          <w:sz w:val="17"/>
          <w:szCs w:val="17"/>
          <w:color w:val="auto"/>
        </w:rPr>
        <w:t>Mylan Laboratories Limited (formerly known as Matrix Laboratories Limited) has a financing arrangement for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accounts receivable with certain commercial banks. The commercial banks purchase the receivables at a discount and Mylan Laboratories Limited records the proceeds as short-term borrowings. Upon receipt of payment of the receivable, the short-term borrowings are reversed. As the banks have recourse to Mylan Laboratories Limited on the receivables sold, the receivables are included in accounts receivable, net, in the Consolidated Balance Sheets. Additionally, Mylan Laboratories Limited has working capital facilities with several banks which are secured by its current assets and property, plant and equipment. The working capital facilities have a weighted average interest rate of 4.7% at December 31, 2012.</w:t>
      </w:r>
    </w:p>
    <w:p>
      <w:pPr>
        <w:spacing w:after="0" w:line="17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February 2012, Mylan Pharmaceuticals Inc. (“MPI”), a wholly owned subsidiary of the Company, entered into a receivable securitization facility (the “Receivables Facility”) of up to $300 million, which was expanded to $400 million in July 2012. Pursuant to the terms of the Receivables Facility, MPI transfers certain of its domestic receivables, related assets and collections, on an ongoing basis, to Mylan Securitization LLC (“Mylan Securitization”), a wholly owned bankruptcy remote subsidiary. In turn, from time to time, Mylan Securitization sells its interests in such receivables, related assets and collections to certain conduit purchasers, committed purchasers and letter of credit issuers in exchange for cash or letters of credit. Mylan Securitization maintains a subordinated interest, in the form of over collateralization, in a portion of the receivables sold. The receivables underlying any borrowings are included in accounts receivable, net, in the Consolidated Balance Sheets. At December 31, 2012, there were $180 million of short-term borrowings outstanding under the Receivables Facility, which are recorded as a secured loan and included in short-term borrowings in the Consolidated Balance Sheets.</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Mylan recognizes net revenue for product sales when title and risk of loss pass to its customers and when provisions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including discounts, sales allowances, price adjustments, returns, chargebacks and other promotional programs, are reasonably determinable. The following briefly describes the nature of each provision and how such provisions are estimated.</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Discounts are reductions to invoiced amounts offered to customers for payment within a specified period and are estimated upon sale utilizing historical customer payment experience.</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Volume-based sales allowances are offered to key customers to promote customer loyalty and encourage greater product sales. These programs provide that upon the attainment of pre-established volumes or the attainment of revenue milestones for a specified period, the customer receives credit against purchases. Other promotional programs are incentive programs periodically offered to our customers. The Company is able to estimate provisions for volume-based sales allowances and other promotional programs based on the specific terms in each agreement at the time of sale.</w:t>
      </w:r>
    </w:p>
    <w:p>
      <w:pPr>
        <w:spacing w:after="0" w:line="154"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Consistent with industry practice, Mylan maintains a return policy that allows customers to return product within a specified period prior and subsequent to the expiration date. The Company’s estimate of the provision for returns is generally based upon historical experience with actual returns.</w:t>
      </w:r>
    </w:p>
    <w:p>
      <w:pPr>
        <w:spacing w:after="0" w:line="12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Price adjustments, which include shelf stock adjustments, are credits issued to reflect decreases in the selling prices of products. Shelf stock adjustments are based upon the amount of product which the customer has remaining in its inventory at the time of the price reduction. Decreases in selling prices are discretionary decisions made by the Company to reflect market conditions. Amounts recorded for estimated price adjustments are based upon specified terms with direct customers, estimated launch dates of competing products, estimated declines in market price and, in the case of shelf stock adjustments, estimates of inventory held by the customer.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has agreements with certain indirect customers, such as independent pharmacies, managed care organizations, hospitals, nursing homes, governmental agencies and pharmacy benefit management companies, which establish contract prices for certain products. The indirect customers then independently select a wholesaler from which to actually purchase the products at these contracted prices. Alternatively, certain wholesalers may enter into agreements with indirect customers that establish contract pricing for certain products, which the wholesalers provide. Under either arrangement, Mylan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Accounts receivable are presented net of allowances relating to the above provisions. No revisions were made to the methodology used in determining these provisions during the years ended December 31, 2012 and 2011. Such allowances were $977.0 million and $763.0 million at December 31, 2012 and 2011, respectively. Other current liabilities included $202.9 million and $147.9 million at December 31, 2012 and 2011, respectively, for certain sales allowances and other adjustments that are paid to indirect customers.</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February 2012, MPI entered into the Receivables Facility. The receivables underlying any borrowings are included in accounts receivable, net, in the Consolidated Balance Sheets. There were $556.5 million of securitized accounts receivable at December 31, 2012.</w:t>
      </w:r>
    </w:p>
    <w:p>
      <w:pPr>
        <w:spacing w:after="0" w:line="170"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The Company periodically enters into various types of revenue arrangements with third-parties, including agreements for the sale or license of product rights or technology, research and development agreements, collaboration agreements and others. These agreements may include the receipt of upfront and milestone payments, royalties, and payment for contract manufacturing and other services.</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Non-refundable fees received upon entering into license and other collaborative agreements where the Company has continuing involvement are recorded as deferred revenue and recognized as other revenue over an appropriate period of time.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Royalty or profit share revenue from licensees, which are based on third-party sales of licensed products and technology, is recorded in accordance with the contract terms, when third-party sales can be reliably measured and collection of the funds is reasonably assured. Royalty revenue is included in other revenue in the Consolidated Statements of Operations.</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recognizes contract manufacturing and other service revenue when the service is performed or when the Company’s partners take ownership and title has passed, collectability is reasonably assured, the sales price is fixed or determinable, and there is persuasive evidence of an arrangement.</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During the years ended December 31, 2012, 2011 and 2010, sales to Cardinal Health, Inc. were 14%, 13%, and 11%, respectively, and sales to McKesson Corporation were 13%, 11% and 11%, respectively, of consolidated net revenues.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expenses are charged to operations as incurred.</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taxes have been provided for using an asset and liability approach in which deferred income taxes reflect the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Earnings per Common Share. </w:t>
      </w:r>
      <w:r>
        <w:rPr>
          <w:rFonts w:ascii="Arial" w:cs="Arial" w:eastAsia="Arial" w:hAnsi="Arial"/>
          <w:sz w:val="17"/>
          <w:szCs w:val="17"/>
          <w:color w:val="auto"/>
        </w:rPr>
        <w:t>Basic earnings per common share is computed by dividing net earnings attributable to Mylan Inc.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by the weighted average number of shares outstanding during the period. Diluted earnings per common share is computed by dividing net earnings attributable to Mylan Inc. common shareholders by the weighted average number of shares outstanding during the period increased by the number of additional shares that would have been outstanding related to potentially dilutive securities or instruments, if the impact is dilutive.</w:t>
      </w:r>
    </w:p>
    <w:p>
      <w:pPr>
        <w:spacing w:after="0" w:line="1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 respect to the its convertible preferred stock, the Company considered the effect on diluted earnings per share of the preferred stock conversion feature using the if-converted method for all periods during which the preferred stock was outstanding. The preferred stock was convertible into between 125,234,172 shares and 152,785,775 shares of the Company’s common stock. On November 15, 2010, pursuant to its terms, the Company’s 6.50% mandatorily convertible preferred stock converted into 125,234,172 shares of Mylan’s common stock, and Mylan is no longer obligated to pay dividends. For the year ended December 31, 2010, the if-converted method was anti-dilutive; therefore, the preferred stock conversion was excluded in the computation of diluted earnings per share.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On September 15, 2008, concurrent with the sale of $575 million aggregate principal amount of Cash Convertible Notes due 2015 (the “Cash Convertible Notes”), Mylan entered into a convertible note hedge and warrant transaction with certain counterparties. Pursuant to the warrant transactions, the Company sold to the counterparties warrants to purchase in the aggregate up to approximately 43.2 million shares of Mylan common stock, subject to anti-dilution adjustments substantially similar to the anti-dilution adjustments for the Cash Convertible Notes, which under most circumstances represents the maximum number of shares that underlie the conversion reference rate for the Cash Convertible Notes. The sold warrants had an exercise price of $20.00 and will be net share settled, meaning that Mylan will issue a number of shares per warrant corresponding to the difference between its share price at each warrant expiration date and the exercise price. The warrants meet the definition of derivatives under the guidance in the FASB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however, because these instruments have been determined to be indexed to the Company’s own stock and meet the criteria for equity classification under ASC 815-40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xml:space="preserve"> (“ASC 815-40”), the warrants have been recorded in shareholders’ equity in the Consolidated Balance Sheets.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September 2011, the Company entered into amendments with the counterparties to exchange the original warrants with an exercise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$20.00 (the “Old Warrants”) with new warrants with an exercise price of $30.00 (the “New Warrants”). Approximately 41.0 million of the Old Warrants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exchanged in the transaction. All other terms and settlement provisions of the Old Warrants remain unchanged in the New Warrants. The New Warrants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definition of derivatives under the guidance in ASC 815; however, because these instruments have been determined to be indexed to the Company’s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and meet the criteria for equity classification under ASC 815-40, the New Warrants have also been recorded in shareholders’ equity in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May 3, 2011, the Company announced that its Board of Directors had approved the repurchase of up to $350 million of the Company’s common stock and other equity securities, either in the open market or through privately-negotiated transactions. During the second quarter of 2011, the repurchase program was completed with approximately 14.8 million shares of common stock repurchased for approximately $350 million.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10, 2012, the Company announced that its Board of Directors had approved the repurchase of up to $500 million of the Company's common stock in the open market. During the second quarter of 2012, the repurchase program was completed with approximately 23.4 million shares of common stock repurchased for approximately $500 million.</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On November 20, 2012, the Company announced that its Board of Directors had approved the repurchase of up to $500 million of the Company’s common stock in the open market or through other methods. The repurchase was completed by December 31, 2012, with approximately 18.0 million shares of common stock repurchased for approximately $500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earnings per common share attributable to Mylan Inc. are calculated as follows:</w:t>
      </w:r>
    </w:p>
    <w:p>
      <w:pPr>
        <w:spacing w:after="0" w:line="200" w:lineRule="exact"/>
        <w:rPr>
          <w:sz w:val="20"/>
          <w:szCs w:val="20"/>
          <w:color w:val="auto"/>
        </w:rPr>
      </w:pPr>
    </w:p>
    <w:p>
      <w:pPr>
        <w:spacing w:after="0" w:line="24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37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earnings attributable to Mylan Inc. common shareholders (numerator):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Net earnings attributable to Mylan Inc. before preferred dividends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640,850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536,810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345,115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Preferred dividends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121,535</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earnings attributable to Mylan Inc. common shareholders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640,850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536,810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223,580</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Shares (denominator):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415,210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430,839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324,453</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earnings per common share attributable to Mylan Inc. common shareholders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attributable to Mylan Inc. common shareholders (numerator):</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Mylan Inc. common shareholders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640,850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536,810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223,580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Shares (denominator):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324,453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Stock-based awards and warrants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dilutive shares outstanding</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420,236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328,979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earnings per common share attributable to Mylan Inc.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Additional stock options or restricted stock awards were outstanding during the years ended December 31, 2012, 2011 and 2010 but were not included in the computation of diluted earnings per share for each respective period, because the effect would be anti-dilutive. Such anti-dilutive stock options or restricted stock awards represented 4.8 million, 5.5 million and 3.5 million shares for the years ended December 31, 2012, 2011 and 2010, respectively.</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fair value of stock-based compensation is recognized as expense in the Consolidated Statements of Operations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vesting period.</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Derivatives. </w:t>
      </w:r>
      <w:r>
        <w:rPr>
          <w:rFonts w:ascii="Arial" w:cs="Arial" w:eastAsia="Arial" w:hAnsi="Arial"/>
          <w:sz w:val="17"/>
          <w:szCs w:val="17"/>
          <w:color w:val="auto"/>
        </w:rPr>
        <w:t>From time to time the Company may enter into derivative financial instruments (mainly foreign currency exchange forward contracts,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purchased currency options, interest rate swaps and purchased equity call options) designed to hedge the cash flows resulting from existing assets and liabilities and transactions expected to be entered into over the next twelve months, in currencies other than the functional currency, to hedge the variability in interest expense on floating rate debt, hedge the fair value of fixed-rate notes or to hedge cash or share payments required on conversion of issued convertible notes. When such instruments qualify for hedge accounting, they are recognized on the Consolidated Balance Sheets with the change in the fair value recorded as a component of other comprehensive earnings until the underlying hedged item is recognized in the Consolidated Statements of Operations. When such derivatives do not qualify for hedge accounting, they are recognized on the Consolidated Balance Sheets at their fair value, with changes in the fair value recorded in the Consolidated Statements of Operations within other income (expense), net.</w:t>
      </w:r>
    </w:p>
    <w:p>
      <w:pPr>
        <w:spacing w:after="0" w:line="17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The Company’s financial instruments consist primarily of short-term and long-term debt, interest rate swaps,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uses derivative financial instruments for the purpose of hedging foreign currency and interest rate exposures, which exist as part of ongoing business operations or to hedge cash or share payments required on conversion of issued convertible notes. The Company carries derivative instruments on the Consolidated Balance Sheets at fair value, determined by reference to market data such as forward rates for currencies, implied volatilities, and interest rate swap yield curves. The accounting for changes in the fair value of a derivative instrument depends on whether it has been designated and qualifies as part of a hedging relationship and, if so, the reason for holding it.</w:t>
      </w:r>
    </w:p>
    <w:p>
      <w:pPr>
        <w:spacing w:after="0" w:line="188"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June and December 2011, the FASB issued revised accounting guidance for the presentation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comprehensive income. Under this guidance, an entity has the option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a part of the statement of changes in stockholders’ equity. The amended guidance is effective for fiscal years beginning after December 15, 2011, and it must be applied retrospectively. The Company adopted the guidance during the year ended December 31, 2012, with retrospective application to the years ended December 31, 2011 and 2010 by presenting the Consolidated Statements of Comprehensive Earnings. The adoption of the guidance did not have a material effect on our results of operations, financial position or cash flows.</w:t>
      </w:r>
    </w:p>
    <w:p>
      <w:pPr>
        <w:spacing w:after="0" w:line="39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Other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Respiratory Delivery Platform</w:t>
      </w:r>
    </w:p>
    <w:p>
      <w:pPr>
        <w:spacing w:after="0" w:line="22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7"/>
          <w:szCs w:val="17"/>
          <w:color w:val="auto"/>
        </w:rPr>
        <w:t>On December 23, 2011, Mylan completed its acquisition of the exclusive worldwide rights to develop, manufacture and commercialize a generic equivalent to GlaxoSmithKline’s Advair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Diskus and Seretide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Diskus incorporating Pfizer Inc.’s (“Pfizer’s”) proprietary dry powder inhaler delivery platform (the “Respiratory Delivery Platform”). As part of the agreement, Mylan will fund the remaining development and capital requirements to bring the products to market. In accordance with GAAP guidance regarding business combinations, the Company accounted for this transaction as a purchase of a business and utilized the purchase method of accounting. Under the purchase method of accounting, the assets acquired and liabilities assumed in the transaction were recorded at the date of acquisition at the estimate of their respective fair values.</w:t>
      </w:r>
    </w:p>
    <w:p>
      <w:pPr>
        <w:spacing w:after="0" w:line="19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 total purchase consideration was $348 million. This amount consisted of an initial cash payment of $22 million, approximately $4 million in assumed liabilities, and $322 million of contingent consideration. Pfizer is eligible to receive milestone payments, which are contingent upon the future product development achievements including regulatory approvals, market launches, sales targets and profitability. The $322 million of contingent consideration at the acquisition date represented the net present value of expected milestone and profit sharing payments. The purchase price allocation, including the valuation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of the contingent payment elements of the purchase price, resulted in IPR&amp;D of $338 million, fixed assets of $8 million and goodwill of $2 million.</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amount allocated to acquired IPR&amp;D represented an estimate of the fair value of purchased in-process technology that, as of the closing date of the acquisition, had not reached technological feasibility and had no alternative future use. The fair value of IPR&amp;D was based on the excess earnings method, which utilizes forecasts of expected net cash inflows (including estimates for ongoing costs) and other contributory charges. A discount rate of 12.5% was utilized to discount net cash inflows to present values.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project is in the early stages of development, and the expected costs to complete are estimated to be significant. The project is not expected to begin generating a material benefit to the Company until after 2016. There can be no certainty that these assets ultimately will yield a successful product. Failure to successfully complete this project would have a material impact on the IPR&amp;D assets related to it. Additionally, no assurances can be given that the underlying assumptions used to prepare the discounted cash flow analysis will not change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Bioniche Pharma</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September 7, 2010, the Company completed the acquisition of 100% of the outstanding equity in Bioniche Pharma Holdings Limited (“Bioniche Pharma”), a privately held, global injectable pharmaceutical company. The Company financed the transaction using a combination of cash on hand and long-term borrowings. In accordance with the GAAP guidance regarding business combinations, the Company used the purchase method of accounting to account for this transaction. Under the purchase method of accounting, the assets acquired and liabilities assumed in the transaction were recorded at the date of acquisition at their respective fair values.</w:t>
      </w:r>
    </w:p>
    <w:p>
      <w:pPr>
        <w:spacing w:after="0" w:line="18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Bioniche Pharma manufactures and sells a diverse portfolio of injectable products across several therapeutic areas for the hospital setting, including analgesics/anesthetics, orthopedics, oncology, and urology, with most of the company’s sales made to customers in the U.S.</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purchase price of $543.7 million has been allocated to the assets acquired and liabilities assumed for the Bioniche Pharma business as of the acquisition date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(excluding inventories)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41,680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28,500</w:t>
            </w:r>
          </w:p>
        </w:tc>
      </w:tr>
      <w:tr>
        <w:trPr>
          <w:trHeight w:val="27"/>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186,000</w:t>
            </w:r>
          </w:p>
        </w:tc>
      </w:tr>
      <w:tr>
        <w:trPr>
          <w:trHeight w:val="27"/>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143,000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207,390</w:t>
            </w:r>
          </w:p>
        </w:tc>
      </w:tr>
      <w:tr>
        <w:trPr>
          <w:trHeight w:val="27"/>
        </w:trPr>
        <w:tc>
          <w:tcPr>
            <w:tcW w:w="10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622,781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(37,389)</w:t>
            </w:r>
          </w:p>
        </w:tc>
      </w:tr>
      <w:tr>
        <w:trPr>
          <w:trHeight w:val="27"/>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(4,746)</w:t>
            </w:r>
          </w:p>
        </w:tc>
      </w:tr>
      <w:tr>
        <w:trPr>
          <w:trHeight w:val="27"/>
        </w:trPr>
        <w:tc>
          <w:tcPr>
            <w:tcW w:w="10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543,736</w:t>
            </w:r>
          </w:p>
        </w:tc>
      </w:tr>
      <w:tr>
        <w:trPr>
          <w:trHeight w:val="20"/>
        </w:trPr>
        <w:tc>
          <w:tcPr>
            <w:tcW w:w="10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All acquired IPR&amp;D projects are in various stages of completion.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 Refer to Note 5, “Goodwill and Intangible Assets,” for information regarding the Company’s annual impairment review of these IPR&amp;D assets.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identified intangible assets of $186.0 million are comprised of product rights and licenses that have a weighted average useful life of approximately eight years. The goodwill of $207.4 million arising from the acquisition consisted largely of the value of the employee workforce and the value of products to be developed in the future. All of the goodwill was assigned to Mylan’s Generics Segment. None of the goodwill recognized is expected to be deductible for income tax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 costs of approximately $13 million were expensed during the year ended December 31,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Results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operating results of Bioniche Pharma have been included in Mylan’s Consolidated Statements of Operations since September 7, 2010. Revenues and earnings from the acquisition date through December 31, 2010 were not material to the consolidated financial statements. The following table presents supplemental unaudited pro forma information as if the acquisition of Bioniche Pharma had occurred on January 1, 2009. This summary of the unaudited pro forma results of operations is not necessarily indicative of what Mylan’s results of operations would have been had Bioniche Pharma been acquired on January 1, 2009 and may not be indicative of future performance.</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unaudited pro forma financial information for the period below includes the following charges directly attributable to the accounting for the acquisition: amortization of the step-up of the fair value of inventory of $12.0 million and acquisition costs of $12.7 million were removed for the year ended 2010 and included for the year ended December 31, 2009 and amortization of intangibles of $24.6 million for the years ended December 31, 2010 and 2009. In addition, the unaudited pro forma financial information for the periods presented includes the effects of certain additional borrowings used to purchase Bioniche Pharma as if they occurred on January 1, 2009.</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92"/>
        </w:trPr>
        <w:tc>
          <w:tcPr>
            <w:tcW w:w="9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31, 2010</w:t>
            </w:r>
          </w:p>
        </w:tc>
        <w:tc>
          <w:tcPr>
            <w:tcW w:w="0" w:type="dxa"/>
            <w:vAlign w:val="bottom"/>
          </w:tcPr>
          <w:p>
            <w:pPr>
              <w:spacing w:after="0"/>
              <w:rPr>
                <w:sz w:val="1"/>
                <w:szCs w:val="1"/>
                <w:color w:val="auto"/>
              </w:rPr>
            </w:pPr>
          </w:p>
        </w:tc>
      </w:tr>
      <w:tr>
        <w:trPr>
          <w:trHeight w:val="196"/>
        </w:trPr>
        <w:tc>
          <w:tcPr>
            <w:tcW w:w="98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80" w:type="dxa"/>
            <w:vAlign w:val="bottom"/>
          </w:tcPr>
          <w:p>
            <w:pPr>
              <w:spacing w:after="0"/>
              <w:rPr>
                <w:sz w:val="17"/>
                <w:szCs w:val="17"/>
                <w:color w:val="auto"/>
              </w:rPr>
            </w:pPr>
          </w:p>
        </w:tc>
        <w:tc>
          <w:tcPr>
            <w:tcW w:w="1320" w:type="dxa"/>
            <w:vAlign w:val="bottom"/>
          </w:tcPr>
          <w:p>
            <w:pPr>
              <w:jc w:val="center"/>
              <w:ind w:right="194"/>
              <w:spacing w:after="0"/>
              <w:rPr>
                <w:sz w:val="20"/>
                <w:szCs w:val="20"/>
                <w:color w:val="auto"/>
              </w:rPr>
            </w:pPr>
            <w:r>
              <w:rPr>
                <w:rFonts w:ascii="Arial" w:cs="Arial" w:eastAsia="Arial" w:hAnsi="Arial"/>
                <w:sz w:val="14"/>
                <w:szCs w:val="14"/>
                <w:b w:val="1"/>
                <w:bCs w:val="1"/>
                <w:i w:val="1"/>
                <w:iCs w:val="1"/>
                <w:color w:val="auto"/>
                <w:w w:val="92"/>
              </w:rPr>
              <w:t>(Unaudited)</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5,561,801</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20" w:type="dxa"/>
            <w:vAlign w:val="bottom"/>
          </w:tcPr>
          <w:p>
            <w:pPr>
              <w:ind w:left="40"/>
              <w:spacing w:after="0"/>
              <w:rPr>
                <w:sz w:val="20"/>
                <w:szCs w:val="20"/>
                <w:color w:val="auto"/>
              </w:rPr>
            </w:pPr>
            <w:r>
              <w:rPr>
                <w:rFonts w:ascii="Arial" w:cs="Arial" w:eastAsia="Arial" w:hAnsi="Arial"/>
                <w:sz w:val="18"/>
                <w:szCs w:val="18"/>
                <w:color w:val="auto"/>
              </w:rPr>
              <w:t>Net earnings attributable to Mylan Inc. before preferred dividends</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355,626</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121,535</w:t>
            </w:r>
          </w:p>
        </w:tc>
        <w:tc>
          <w:tcPr>
            <w:tcW w:w="0" w:type="dxa"/>
            <w:vAlign w:val="bottom"/>
          </w:tcPr>
          <w:p>
            <w:pPr>
              <w:spacing w:after="0"/>
              <w:rPr>
                <w:sz w:val="1"/>
                <w:szCs w:val="1"/>
                <w:color w:val="auto"/>
              </w:rPr>
            </w:pPr>
          </w:p>
        </w:tc>
      </w:tr>
      <w:tr>
        <w:trPr>
          <w:trHeight w:val="297"/>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Mylan Inc. common shareholders</w:t>
            </w: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234,091</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Mylan Inc.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51"/>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324,453</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8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328,979</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August 22, 2012, the Company and Pfizer Japan Inc. (“Pfizer Japan”) announced a definitive agreement to establish an exclusive long-term strategic collaboration to develop, manufacture, distribute and market generic drugs in Japan. Under the agreement, the Company and Pfizer Japan will continue to operate separate legal entities in Japan, but will collaborate on current and future generic products, sharing the costs and profits resulting from the collaboration. The Company’s responsibilities primarily consist of managing operations, including research and development and manufacturing. Pfizer Japan’s responsibilities under the agreement primarily consist of the commercialization of the combined generics portfolio and managing a combined marketing and sales effort. The collaboration became operational on January 1, 2013.</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2011, the Company completed two additional business acquisitions for total purchase consideration of approximately $165 million. The total combined purchase consideration of the two acquisitions included initial cash payments of $59 million and approximately $106 million in assumed liabilities. The preliminary purchase price allocations, including the valuation of the contingent payment elements of the purchase price, resulted in intangible assets of $130 million, IPR&amp;D of $30 million and fixed assets of $5 million. The impact on our results of operations since the acquisition dates was not material.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455,958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370,423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268,191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801,093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772,827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1,525,242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1,396,742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and improvements</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665,058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676,028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1,436,904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1,358,163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308,192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263,948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2,484,011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2,371,084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1,086,795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1,073,050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1,397,216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1,298,034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and professional accruals, including litigation accruals</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Payroll and employee benefit plan accruals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266,650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221,458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sales allowances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72,590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290,281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249,845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983,546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996,158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value of contingent consideration included in other long-term obligations in the Consolidated Balance Sheets is $379.2 million and $341.0 million at December 31, 2012 and 2011,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years ended December 31, 2012 and 2011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Generics Segment</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Specialty Segment</w:t>
            </w: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3,277,827</w:t>
            </w:r>
          </w:p>
        </w:tc>
        <w:tc>
          <w:tcPr>
            <w:tcW w:w="10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706,507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3,984,334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3,277,827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321,507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3,599,334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Goodwill acquired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(82,537)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3,196,428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3,517,935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3,902,935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3,517,935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3,194,148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3,515,655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3,194,148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3,900,655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3,194,148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3,515,655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right="4520" w:hanging="652"/>
        <w:spacing w:after="0" w:line="677"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Goodwill acquired primarily through the acquisition of Bioniche Pharma (see Note 3). Intangible assets consist of the following components at December 31, 2012 and 2011:</w:t>
      </w:r>
    </w:p>
    <w:tbl>
      <w:tblPr>
        <w:tblLayout w:type="fixed"/>
        <w:tblInd w:w="0" w:type="dxa"/>
        <w:tblCellMar>
          <w:top w:w="0" w:type="dxa"/>
          <w:left w:w="0" w:type="dxa"/>
          <w:bottom w:w="0" w:type="dxa"/>
          <w:right w:w="0" w:type="dxa"/>
        </w:tblCellMar>
      </w:tblPr>
      <w:tr>
        <w:trPr>
          <w:trHeight w:val="150"/>
        </w:trPr>
        <w:tc>
          <w:tcPr>
            <w:tcW w:w="6060" w:type="dxa"/>
            <w:vAlign w:val="bottom"/>
          </w:tcPr>
          <w:p>
            <w:pPr>
              <w:spacing w:after="0"/>
              <w:rPr>
                <w:sz w:val="13"/>
                <w:szCs w:val="13"/>
                <w:color w:val="auto"/>
              </w:rPr>
            </w:pPr>
          </w:p>
        </w:tc>
        <w:tc>
          <w:tcPr>
            <w:tcW w:w="138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Original</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2012</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Amortized intangible assets: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Patents and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28,343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Product rights and licenses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3,459,980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1,749,424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1,710,556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111,033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51,384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59,649</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3,687,644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1,889,096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1,798,548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IPR&amp;D </w:t>
            </w:r>
            <w:r>
              <w:rPr>
                <w:rFonts w:ascii="Arial" w:cs="Arial" w:eastAsia="Arial" w:hAnsi="Arial"/>
                <w:sz w:val="25"/>
                <w:szCs w:val="25"/>
                <w:color w:val="auto"/>
                <w:vertAlign w:val="superscript"/>
              </w:rPr>
              <w:t>(2)</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425,909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425,909</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4,113,553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1,889,096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2,224,457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December 31, 2011</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Amortized intangible assets: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Patents and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Product rights and licenses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3,364,263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1,418,492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1,945,771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200,663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45,604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155,059</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3,681,557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1,546,911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2,134,646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IPR&amp;D </w:t>
            </w:r>
            <w:r>
              <w:rPr>
                <w:rFonts w:ascii="Arial" w:cs="Arial" w:eastAsia="Arial" w:hAnsi="Arial"/>
                <w:sz w:val="25"/>
                <w:szCs w:val="25"/>
                <w:color w:val="auto"/>
                <w:vertAlign w:val="superscript"/>
              </w:rPr>
              <w:t>(2)</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496,101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496,101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4,177,658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1,546,911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2,630,747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5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Other intangibles consist principally of customer lists and contracts.</w:t>
      </w:r>
    </w:p>
    <w:p>
      <w:pPr>
        <w:ind w:left="660" w:hanging="652"/>
        <w:spacing w:after="0" w:line="183"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See Note 3.</w:t>
      </w:r>
    </w:p>
    <w:p>
      <w:pPr>
        <w:spacing w:after="0" w:line="20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Product rights and licenses are primarily comprised of the products marketed at the time of acquisition. These product rights and licenses relate to numerous individual products, the net book value of which, by therapeutic category,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2011</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Allergy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127,096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Anti-infectives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145,109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179,386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353,026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Central Nervous System</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273,102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293,106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Dermatological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32,710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Endocrine and Metabolic</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80,702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92,482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Gastrointestinal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144,672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Respiratory System</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218,658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282,803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357,070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440,490</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1,710,556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1,945,771</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Other consists of numerous therapeutic classes, none of which individually exceeds 5% of total product rights and licenses.</w:t>
      </w:r>
    </w:p>
    <w:p>
      <w:pPr>
        <w:spacing w:after="0" w:line="202"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Amortization expense, which is classified primarily within cost of sales in the Consolidated Statements of Operations, for the years ended December 31, 2012, 2011 and 2010 was $386.4 million, $357.8 million and $290.3 million, respectively. Amortization expense is expected to be approximately $353 million, $345 million, $321 million, $227 million and $200 million for the years ended December 31, 2013 through 2017, respectively.</w:t>
      </w:r>
    </w:p>
    <w:p>
      <w:pPr>
        <w:spacing w:after="0" w:line="147"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Indefinite-lived intangibles, such as the Company’s IPR&amp;D assets, are tested at least annually for impairment, but may be tested whenever certain impairment indicators are present. Impairment is determined to exist when the fair value is less than the carrying value of the assets being tested.</w:t>
      </w:r>
    </w:p>
    <w:p>
      <w:pPr>
        <w:spacing w:after="0" w:line="12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performs its annual impairment review of certain IPR&amp;D assets at September 30th. This review of IPR&amp;D assets principally relates to assets acquired as part of the Bioniche Pharma acquisition in September 2010. For the years ended December 31, 2012 and 2011, the Company recorded impairment charges related to the Bioniche Pharma IPR&amp;D assets in the amounts of $41.6 million and $16.2 million, respectively, which were recorded as a component of amortization expense. These impairment charges resulted from the Company’s estimate of the fair value of these assets, which was based upon updated forecasts, compared with the assigned fair values at the acquisition date. The fair value was determined based upon detailed valuations employing the income approach which utilized Level 3 inputs, as defined in Note 6.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A discount rate of approximately 10% was utilized in each valuation at September 30, 2012 and 2011. Changes to any of the Company’s assumptions may result in a further reduction to the estimated fair value of the IPR&amp;D asset.</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year ended December 31, 2012, approximately $33.0 million was reclassified from acquired IPR&amp;D to product rights and licenses. Also during the year ended December 31, 2012, the Company paid approximately $70.0 million to acquire products rights and licenses, the majority of which relates to two dermatological products acquired from Valeant Pharmaceuticals.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Risks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Mylan is exposed to certain financial risks relating to its ongoing business operations. The primary financial risks that are managed by using derivative instruments are foreign currency risk, interest rate risk and equity risk.</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order to manage foreign currency risk, Mylan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Consolidated Balance Sheets. Any gains or losses on the foreign exchange forward contracts are recognized in earnings in the period incurred in the Consolidated Statements of Operations.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These contracts are designated as cash flow hedges to manage and mitigate foreign currency transaction risk and are measured at fair value and reported as current assets or current liabilities on the Consolidated Balance Sheets. Any changes in fair value are included in earnings or deferred through accumulated other comprehensive earnings (“AOCE”), depending on the nature and effectiveness of the offset.</w:t>
      </w:r>
    </w:p>
    <w:p>
      <w:pPr>
        <w:spacing w:after="0" w:line="17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December 31, 2010, the Company had €679.2 million of borrowings under its Amended and Restated Credit Agreement dated December 20, 2007 (the “Prior Credit Agreement”) that were designated as a hedge of its net investment in certain Euro-functional currency subsidiaries to manage foreign currency translation risk. The U.S. Dollar equivalent of such amounts was $909.3 million at December 31, 2010. Borrowings designated as hedges of net investments are marked to market using the current spot exchange rate as of the end of the period, with gains and losses included in the foreign currency translation adjustment component of AOCE on the Consolidated Balance Sheets until the sale or substantial liquidation of the underlying net investments. During 2011, the borrowings that were designated as a net investment hedge were repaid in conjunction with the refinancing of the Prior Credit Agreement (see Note 7).</w:t>
      </w:r>
    </w:p>
    <w:p>
      <w:pPr>
        <w:spacing w:after="0" w:line="18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Company enters into interest rate swaps in order to manage interest rate risk associated with the Company’s fixed and floating-rate debt. These derivative instruments are measured at fair value and reported as current assets or current liabilities on the Consolidated Balance Sheets. The Company’s interest rate swaps designated as cash flow hedges fix the interest rate on a portion of the Company’s variable-rate debt. Any changes in fair value are included in earnings or deferred through AOCE, depending on the nature and effectiveness of the offset. Any ineffectiveness in a cash flow hedging relationship is recognized immediately in earnings in the Consolidated Statements of Operations. As of December 31, 2012 and December 31, 2011, the total notional amount of the Company’s interest rate swaps on floating-rate debt was $850 million and $500 million, respectively. As described in Note 7 to the Consolidated Financial Statements, a total of $750 million of the Company's floating rate debt interest rate swaps have been extended through additional forward-starting swaps.</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interest rate swaps designated as fair value hedges convert the fixed rate on a portion of the Company's fixed rate debt to a variable rate. Any changes in the fair value of fair value hedges, as well as the offsetting change in fair value of the portion of the fixed-rate debt being hedged, is included in interest expense. As of December 31, 2012 and December 31, 2011 the total notional amount of the Company's fixed rate debt interest rate swaps designated as fair value hedges was $500 million.</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discussed further in Note 7, in November 2011, the Company entered into a credit agreement (the “Senior Credit Agreement”) and refinanced the Prior Credit Agreement. In conjunction with the refinancing of the Prior Credit Agreement, the Company terminated certain interest rate swaps that had previously fixed the interest rate on a portion of the Company’s variable-rate U.S. Tranche B Term Loans. As a result, during the year ended December 31, 2011, charges of approximately $13.9 million that had previously been classified in AOCE were recognized into other income (expense), net.</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aggregate fair value of all such contracts that are in an asset position at December 31, 2012 is $26.8 million. The Company is not subject to any obligations to post collateral under derivative instrument contracts.</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Company maintains significant credit exposure arising from the convertible note hedge on its Cash Convertible Notes. Holders may convert their Cash Convertible Notes subject to certain conversion provisions determined by a) the market price of the Company’s common stock, b) specified distributions to common shareholders, c) a fundamental change, as defined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the purchase agreement, or d) certain time periods specified in the purchase agreement. The conversion feature can only be settled in cash and, therefore, it is bifurcated from the Cash Convertible Notes and treated as a separate derivative instrument. In order to offset the cash flow risk associated with the cash conversion feature, the Company entered into a convertible note hedge with certain counterparties. Both the cash conversion feature and the purchased convertible note hedge are measured at fair value with gains and losses recorded in the Company’s Consolidated Statements of Operations. Also, in conjunction with the issuance of the Cash Convertible Notes, the Company entered into several warrant transactions with certain counterparties. The warrants meet the definition of derivatives; however, because these instruments have been determined to be indexed to the Company’s own stock, and have been recorded in shareholders’ equity in the Company’s Consolidated Balance Sheets, the instruments are exempt from the scope of the FASB’s guidance regarding accounting for derivative instruments and hedging activities and are not subject to the fair value provisions set forth therein.</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At December 31, 2012, the convertible note hedge had a total fair value of $636.3 million, which reflects the maximum loss that would be incurred should the parties fail to perform according to the terms of the contract. The counterparties are highly rated diversified financial institutions with both commercial and investment banking operations. The counterparties are required to post collateral against this obligation should they be downgraded below thresholds specified in the contract. Eligible collateral is comprised of a wide range of financial securities with a valuation discount percentage reflecting the associated risk.</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regularly reviews the creditworthiness of its financial counterparties and does not expect to incur a significant loss from failure of any counterparties to perform under any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Derivatives Designated as Hedging Instruments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4"/>
                <w:szCs w:val="14"/>
                <w:b w:val="1"/>
                <w:bCs w:val="1"/>
                <w:color w:val="auto"/>
                <w:w w:val="90"/>
              </w:rPr>
              <w:t>Asset Derivatives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 2012</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 2011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3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50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36,647</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29,773</w:t>
            </w:r>
          </w:p>
        </w:tc>
        <w:tc>
          <w:tcPr>
            <w:tcW w:w="0" w:type="dxa"/>
            <w:vAlign w:val="bottom"/>
          </w:tcPr>
          <w:p>
            <w:pPr>
              <w:spacing w:after="0"/>
              <w:rPr>
                <w:sz w:val="1"/>
                <w:szCs w:val="1"/>
                <w:color w:val="auto"/>
              </w:rPr>
            </w:pPr>
          </w:p>
        </w:tc>
      </w:tr>
      <w:tr>
        <w:trPr>
          <w:trHeight w:val="257"/>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36,647</w:t>
            </w: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29,773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4"/>
                <w:szCs w:val="14"/>
                <w:b w:val="1"/>
                <w:bCs w:val="1"/>
                <w:color w:val="auto"/>
                <w:w w:val="95"/>
              </w:rPr>
              <w:t>Liability Derivatives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 2012</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 2011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5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500" w:type="dxa"/>
            <w:vAlign w:val="bottom"/>
          </w:tcPr>
          <w:p>
            <w:pPr>
              <w:spacing w:after="0"/>
              <w:rPr>
                <w:sz w:val="21"/>
                <w:szCs w:val="21"/>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15,863</w:t>
            </w:r>
          </w:p>
        </w:tc>
        <w:tc>
          <w:tcPr>
            <w:tcW w:w="100" w:type="dxa"/>
            <w:vAlign w:val="bottom"/>
          </w:tcPr>
          <w:p>
            <w:pPr>
              <w:spacing w:after="0"/>
              <w:rPr>
                <w:sz w:val="21"/>
                <w:szCs w:val="21"/>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57,075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25,686</w:t>
            </w: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57,733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Fair Values of Derivative Instruments</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678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w w:val="89"/>
              </w:rPr>
              <w:t>Derivatives Not Designated as Hedging Instruments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4"/>
                <w:szCs w:val="14"/>
                <w:b w:val="1"/>
                <w:bCs w:val="1"/>
                <w:color w:val="auto"/>
                <w:w w:val="90"/>
              </w:rPr>
              <w:t>Asset Derivatives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 2012</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 2011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3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5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Purchased cash convertible note hedge</w:t>
            </w:r>
          </w:p>
        </w:tc>
        <w:tc>
          <w:tcPr>
            <w:tcW w:w="500" w:type="dxa"/>
            <w:vAlign w:val="bottom"/>
          </w:tcPr>
          <w:p>
            <w:pPr>
              <w:spacing w:after="0"/>
              <w:rPr>
                <w:sz w:val="21"/>
                <w:szCs w:val="21"/>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636,300</w:t>
            </w:r>
          </w:p>
        </w:tc>
        <w:tc>
          <w:tcPr>
            <w:tcW w:w="100" w:type="dxa"/>
            <w:vAlign w:val="bottom"/>
          </w:tcPr>
          <w:p>
            <w:pPr>
              <w:spacing w:after="0"/>
              <w:rPr>
                <w:sz w:val="21"/>
                <w:szCs w:val="21"/>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642,118</w:t>
            </w: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463,802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0" w:type="dxa"/>
            <w:vAlign w:val="bottom"/>
            <w:gridSpan w:val="2"/>
            <w:vMerge w:val="restart"/>
          </w:tcPr>
          <w:p>
            <w:pPr>
              <w:jc w:val="center"/>
              <w:ind w:left="1970"/>
              <w:spacing w:after="0"/>
              <w:rPr>
                <w:sz w:val="20"/>
                <w:szCs w:val="20"/>
                <w:color w:val="auto"/>
              </w:rPr>
            </w:pPr>
            <w:r>
              <w:rPr>
                <w:rFonts w:ascii="Arial" w:cs="Arial" w:eastAsia="Arial" w:hAnsi="Arial"/>
                <w:sz w:val="18"/>
                <w:szCs w:val="18"/>
                <w:color w:val="auto"/>
                <w:w w:val="89"/>
              </w:rPr>
              <w:t>89</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280" w:type="dxa"/>
            <w:vAlign w:val="bottom"/>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26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 2012</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December 31, 2011</w:t>
            </w:r>
          </w:p>
        </w:tc>
        <w:tc>
          <w:tcPr>
            <w:tcW w:w="1120" w:type="dxa"/>
            <w:vAlign w:val="bottom"/>
            <w:tcBorders>
              <w:bottom w:val="single" w:sz="8" w:color="auto"/>
            </w:tcBorders>
          </w:tcPr>
          <w:p>
            <w:pPr>
              <w:spacing w:after="0"/>
              <w:rPr>
                <w:sz w:val="22"/>
                <w:szCs w:val="22"/>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11,760</w:t>
            </w:r>
          </w:p>
        </w:tc>
      </w:tr>
      <w:tr>
        <w:trPr>
          <w:trHeight w:val="243"/>
        </w:trPr>
        <w:tc>
          <w:tcPr>
            <w:tcW w:w="6200" w:type="dxa"/>
            <w:vAlign w:val="bottom"/>
            <w:gridSpan w:val="3"/>
          </w:tcPr>
          <w:p>
            <w:pPr>
              <w:ind w:left="40"/>
              <w:spacing w:after="0"/>
              <w:rPr>
                <w:sz w:val="20"/>
                <w:szCs w:val="20"/>
                <w:color w:val="auto"/>
              </w:rPr>
            </w:pPr>
            <w:r>
              <w:rPr>
                <w:rFonts w:ascii="Arial" w:cs="Arial" w:eastAsia="Arial" w:hAnsi="Arial"/>
                <w:sz w:val="18"/>
                <w:szCs w:val="18"/>
                <w:color w:val="auto"/>
              </w:rPr>
              <w:t>Cash conversion feature of Cash Convertible Notes Long-term debt</w:t>
            </w: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636,300</w:t>
            </w:r>
          </w:p>
        </w:tc>
        <w:tc>
          <w:tcPr>
            <w:tcW w:w="100" w:type="dxa"/>
            <w:vAlign w:val="bottom"/>
          </w:tcPr>
          <w:p>
            <w:pPr>
              <w:spacing w:after="0"/>
              <w:rPr>
                <w:sz w:val="21"/>
                <w:szCs w:val="21"/>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460,000</w:t>
            </w:r>
          </w:p>
        </w:tc>
      </w:tr>
      <w:tr>
        <w:trPr>
          <w:trHeight w:val="27"/>
        </w:trPr>
        <w:tc>
          <w:tcPr>
            <w:tcW w:w="37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639,665</w:t>
            </w: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471,760</w:t>
            </w: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Effect of Derivative Instruments on the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9"/>
          </w:tcPr>
          <w:p>
            <w:pPr>
              <w:jc w:val="center"/>
              <w:ind w:right="135"/>
              <w:spacing w:after="0"/>
              <w:rPr>
                <w:sz w:val="20"/>
                <w:szCs w:val="20"/>
                <w:color w:val="auto"/>
              </w:rPr>
            </w:pPr>
            <w:r>
              <w:rPr>
                <w:rFonts w:ascii="Arial" w:cs="Arial" w:eastAsia="Arial" w:hAnsi="Arial"/>
                <w:sz w:val="14"/>
                <w:szCs w:val="14"/>
                <w:b w:val="1"/>
                <w:bCs w:val="1"/>
                <w:color w:val="auto"/>
                <w:w w:val="93"/>
              </w:rPr>
              <w:t>Amount of Gain Recognized in Earnings on Derivatives</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Location of Gain Recognized in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3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4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Earnings on Derivatives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19,562</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42,648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19,562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42,648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jc w:val="center"/>
              <w:ind w:right="135"/>
              <w:spacing w:after="0"/>
              <w:rPr>
                <w:sz w:val="20"/>
                <w:szCs w:val="20"/>
                <w:color w:val="auto"/>
              </w:rPr>
            </w:pPr>
            <w:r>
              <w:rPr>
                <w:rFonts w:ascii="Arial" w:cs="Arial" w:eastAsia="Arial" w:hAnsi="Arial"/>
                <w:sz w:val="14"/>
                <w:szCs w:val="14"/>
                <w:b w:val="1"/>
                <w:bCs w:val="1"/>
                <w:color w:val="auto"/>
                <w:w w:val="91"/>
              </w:rPr>
              <w:t>Amount of Loss Recognized in Earnings on Hedging Items</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Location of Loss Recognized in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3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4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Earnings on Hedged Items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Senior Notes</w:t>
            </w:r>
          </w:p>
        </w:tc>
        <w:tc>
          <w:tcPr>
            <w:tcW w:w="12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(29,773)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(29,773)</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gridSpan w:val="4"/>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0080" w:type="dxa"/>
            <w:vAlign w:val="bottom"/>
            <w:gridSpan w:val="12"/>
          </w:tcPr>
          <w:p>
            <w:pPr>
              <w:jc w:val="center"/>
              <w:ind w:left="1275"/>
              <w:spacing w:after="0"/>
              <w:rPr>
                <w:sz w:val="20"/>
                <w:szCs w:val="20"/>
                <w:color w:val="auto"/>
              </w:rPr>
            </w:pPr>
            <w:r>
              <w:rPr>
                <w:rFonts w:ascii="Arial" w:cs="Arial" w:eastAsia="Arial" w:hAnsi="Arial"/>
                <w:sz w:val="18"/>
                <w:szCs w:val="18"/>
                <w:b w:val="1"/>
                <w:bCs w:val="1"/>
                <w:color w:val="auto"/>
                <w:w w:val="90"/>
              </w:rPr>
              <w:t>The Effect of Derivative Instruments on the Consolidated Statements of Operations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5240" w:type="dxa"/>
            <w:vAlign w:val="bottom"/>
            <w:gridSpan w:val="5"/>
          </w:tcPr>
          <w:p>
            <w:pPr>
              <w:jc w:val="center"/>
              <w:ind w:right="177"/>
              <w:spacing w:after="0"/>
              <w:rPr>
                <w:sz w:val="20"/>
                <w:szCs w:val="20"/>
                <w:color w:val="auto"/>
              </w:rPr>
            </w:pPr>
            <w:r>
              <w:rPr>
                <w:rFonts w:ascii="Arial" w:cs="Arial" w:eastAsia="Arial" w:hAnsi="Arial"/>
                <w:sz w:val="18"/>
                <w:szCs w:val="18"/>
                <w:b w:val="1"/>
                <w:bCs w:val="1"/>
                <w:color w:val="auto"/>
                <w:w w:val="89"/>
              </w:rPr>
              <w:t>Derivatives in Cash Flow Hedging Relationships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Amount of Gain or (Loss)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8"/>
          </w:tcPr>
          <w:p>
            <w:pPr>
              <w:jc w:val="center"/>
              <w:ind w:left="677"/>
              <w:spacing w:after="0" w:line="149" w:lineRule="exact"/>
              <w:rPr>
                <w:sz w:val="20"/>
                <w:szCs w:val="20"/>
                <w:color w:val="auto"/>
              </w:rPr>
            </w:pPr>
            <w:r>
              <w:rPr>
                <w:rFonts w:ascii="Arial" w:cs="Arial" w:eastAsia="Arial" w:hAnsi="Arial"/>
                <w:sz w:val="14"/>
                <w:szCs w:val="14"/>
                <w:b w:val="1"/>
                <w:bCs w:val="1"/>
                <w:color w:val="auto"/>
                <w:w w:val="94"/>
              </w:rPr>
              <w:t>Recognized in AOCE (Net of Tax)</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on Derivative</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40" w:type="dxa"/>
            <w:vAlign w:val="bottom"/>
            <w:tcBorders>
              <w:bottom w:val="single" w:sz="8" w:color="CCEEFF"/>
            </w:tcBorders>
          </w:tcPr>
          <w:p>
            <w:pPr>
              <w:spacing w:after="0"/>
              <w:rPr>
                <w:sz w:val="22"/>
                <w:szCs w:val="22"/>
                <w:color w:val="auto"/>
              </w:rPr>
            </w:pPr>
          </w:p>
        </w:tc>
        <w:tc>
          <w:tcPr>
            <w:tcW w:w="2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24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15,836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23,030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29,687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Amount of Gain or (Loss)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Reclassified from AOCE</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into Earnings</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Location of Gain or (Loss) Reclassified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from AOCE into Earnings (Effective</w:t>
            </w: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4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(44,217)</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4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(53,499)</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gridSpan w:val="2"/>
            <w:vMerge w:val="restart"/>
          </w:tcPr>
          <w:p>
            <w:pPr>
              <w:jc w:val="center"/>
              <w:ind w:left="1130"/>
              <w:spacing w:after="0"/>
              <w:rPr>
                <w:sz w:val="20"/>
                <w:szCs w:val="20"/>
                <w:color w:val="auto"/>
              </w:rPr>
            </w:pPr>
            <w:r>
              <w:rPr>
                <w:rFonts w:ascii="Arial" w:cs="Arial" w:eastAsia="Arial" w:hAnsi="Arial"/>
                <w:sz w:val="18"/>
                <w:szCs w:val="18"/>
                <w:color w:val="auto"/>
                <w:w w:val="89"/>
              </w:rPr>
              <w:t>90</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3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Amount of Gain or (Loss)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60" w:type="dxa"/>
            <w:vAlign w:val="bottom"/>
            <w:gridSpan w:val="7"/>
          </w:tcPr>
          <w:p>
            <w:pPr>
              <w:jc w:val="center"/>
              <w:ind w:left="639"/>
              <w:spacing w:after="0" w:line="149" w:lineRule="exact"/>
              <w:rPr>
                <w:sz w:val="20"/>
                <w:szCs w:val="20"/>
                <w:color w:val="auto"/>
              </w:rPr>
            </w:pPr>
            <w:r>
              <w:rPr>
                <w:rFonts w:ascii="Arial" w:cs="Arial" w:eastAsia="Arial" w:hAnsi="Arial"/>
                <w:sz w:val="14"/>
                <w:szCs w:val="14"/>
                <w:b w:val="1"/>
                <w:bCs w:val="1"/>
                <w:color w:val="auto"/>
                <w:w w:val="90"/>
              </w:rPr>
              <w:t>Excluded from the Assessment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of Hedge Effectiveness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3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Location of Gain Excluded from the Assessment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3900" w:type="dxa"/>
            <w:vAlign w:val="bottom"/>
          </w:tcPr>
          <w:p>
            <w:pPr>
              <w:spacing w:after="0"/>
              <w:rPr>
                <w:sz w:val="6"/>
                <w:szCs w:val="6"/>
                <w:color w:val="auto"/>
              </w:rPr>
            </w:pPr>
          </w:p>
        </w:tc>
        <w:tc>
          <w:tcPr>
            <w:tcW w:w="32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restart"/>
          </w:tcPr>
          <w:p>
            <w:pPr>
              <w:jc w:val="center"/>
              <w:ind w:right="25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Hedge Effectiveness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58,024</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57"/>
        </w:trPr>
        <w:tc>
          <w:tcPr>
            <w:tcW w:w="39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58,024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13,432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At December 31, 2012, the Company expects that approximately $32 million of pre-tax net losses on cash flow hedges will be reclassified from AOCE into earnings during the next 12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Effect of Derivative Instruments on the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Derivatives in Net Investment Hedging Relationships</w:t>
      </w:r>
    </w:p>
    <w:p>
      <w:pPr>
        <w:spacing w:after="0" w:line="256"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Amount of Gain or (Loss)</w:t>
      </w:r>
    </w:p>
    <w:p>
      <w:pPr>
        <w:jc w:val="center"/>
        <w:ind w:left="7120"/>
        <w:spacing w:after="0" w:line="226" w:lineRule="auto"/>
        <w:rPr>
          <w:sz w:val="20"/>
          <w:szCs w:val="20"/>
          <w:color w:val="auto"/>
        </w:rPr>
      </w:pPr>
      <w:r>
        <w:rPr>
          <w:rFonts w:ascii="Arial" w:cs="Arial" w:eastAsia="Arial" w:hAnsi="Arial"/>
          <w:sz w:val="14"/>
          <w:szCs w:val="14"/>
          <w:b w:val="1"/>
          <w:bCs w:val="1"/>
          <w:color w:val="auto"/>
        </w:rPr>
        <w:t>Recognized in AOCE (Net of Tax)</w:t>
      </w:r>
    </w:p>
    <w:p>
      <w:pPr>
        <w:jc w:val="center"/>
        <w:ind w:left="7120"/>
        <w:spacing w:after="0" w:line="222" w:lineRule="auto"/>
        <w:rPr>
          <w:sz w:val="20"/>
          <w:szCs w:val="20"/>
          <w:color w:val="auto"/>
        </w:rPr>
      </w:pPr>
      <w:r>
        <w:rPr>
          <w:rFonts w:ascii="Arial" w:cs="Arial" w:eastAsia="Arial" w:hAnsi="Arial"/>
          <w:sz w:val="14"/>
          <w:szCs w:val="14"/>
          <w:b w:val="1"/>
          <w:bCs w:val="1"/>
          <w:color w:val="auto"/>
        </w:rPr>
        <w:t>on Derivative</w:t>
      </w:r>
    </w:p>
    <w:p>
      <w:pPr>
        <w:jc w:val="center"/>
        <w:ind w:left="7120"/>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3"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23495</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borrowings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42,236</w:t>
            </w:r>
          </w:p>
        </w:tc>
      </w:tr>
      <w:tr>
        <w:trPr>
          <w:trHeight w:val="257"/>
        </w:trPr>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42,236</w:t>
            </w:r>
          </w:p>
        </w:tc>
      </w:tr>
      <w:tr>
        <w:trPr>
          <w:trHeight w:val="20"/>
        </w:trPr>
        <w:tc>
          <w:tcPr>
            <w:tcW w:w="7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years ended December 31, 2012, 2011 and 2010, there was no gain or loss recognized into earnings on derivatives with net investment hedging relationships.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Effect of Derivative Instruments on the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Amount of Gain or (Loss)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Location of Gain</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40" w:type="dxa"/>
            <w:vAlign w:val="bottom"/>
            <w:gridSpan w:val="7"/>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Recognized in Earnings 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32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0"/>
              </w:rPr>
              <w:t>Derivatives</w:t>
            </w: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32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0"/>
              </w:rPr>
              <w:t>or (Loss)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32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Recognized</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322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in Earnings</w:t>
            </w: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3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on Derivatives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3"/>
              </w:rPr>
              <w:t>Cash conversion feature of Cash Convertible Notes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(176,300)</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(61,800)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cash convertible note hedge</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176,300</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61,800</w:t>
            </w:r>
          </w:p>
        </w:tc>
        <w:tc>
          <w:tcPr>
            <w:tcW w:w="0" w:type="dxa"/>
            <w:vAlign w:val="bottom"/>
          </w:tcPr>
          <w:p>
            <w:pPr>
              <w:spacing w:after="0"/>
              <w:rPr>
                <w:sz w:val="1"/>
                <w:szCs w:val="1"/>
                <w:color w:val="auto"/>
              </w:rPr>
            </w:pPr>
          </w:p>
        </w:tc>
      </w:tr>
      <w:tr>
        <w:trPr>
          <w:trHeight w:val="257"/>
        </w:trPr>
        <w:tc>
          <w:tcPr>
            <w:tcW w:w="39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20,740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187" w:lineRule="exact"/>
        <w:rPr>
          <w:sz w:val="20"/>
          <w:szCs w:val="20"/>
          <w:color w:val="auto"/>
        </w:rPr>
      </w:pPr>
    </w:p>
    <w:p>
      <w:pPr>
        <w:ind w:left="1460" w:right="20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Quoted prices (unadjusted) in active markets that are accessible at the measurement date for identical assets or liabilities. The fair value hierarchy gives the highest priority to Level 1 inputs.</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Observable market-based inputs other than quoted prices in active markets for identical assets or liabilities.</w:t>
      </w:r>
    </w:p>
    <w:p>
      <w:pPr>
        <w:spacing w:after="0" w:line="225" w:lineRule="exact"/>
        <w:rPr>
          <w:sz w:val="20"/>
          <w:szCs w:val="20"/>
          <w:color w:val="auto"/>
        </w:rPr>
      </w:pPr>
    </w:p>
    <w:p>
      <w:pPr>
        <w:ind w:left="1460" w:right="46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Unobservable inputs are used when little or no market data is available. The fair value hierarchy gives the lowest priority to Level 3 inputs.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135,209</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135,209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135,209</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Equity securities — exchange traded funds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10,913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10,913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trading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10,913</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fixed income investments: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8,189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fixed income investments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22,826</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equity securities: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Biosciences industry</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available-for-sale equity securities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derivative assets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36,647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cash convertible note hedge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636,300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636,300</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146,224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701,591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847,815</w:t>
            </w:r>
          </w:p>
        </w:tc>
      </w:tr>
      <w:tr>
        <w:trPr>
          <w:trHeight w:val="311"/>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liabilities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derivative liabilities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9,823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conversion feature of Cash Convertible Notes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636,300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379,197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379,197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665,351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379,197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1,044,548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92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152,331</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152,331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152,331</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Equity securities — exchange traded funds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6,760</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trading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6,760</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fixed income investments: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7,192</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2,697</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fixed income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23,754</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equity securities: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Biosciences industry</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available-for-sale equity securities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derivative assets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29,773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cash convertible note hedge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460,000</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 at fair value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159,263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517,329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676,592</w:t>
            </w:r>
          </w:p>
        </w:tc>
      </w:tr>
      <w:tr>
        <w:trPr>
          <w:trHeight w:val="311"/>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68,835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Interest rate swap derivative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conversion feature of Cash Convertible Notes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460,000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341,000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341,000</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529,493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341,000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870,493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Level 1 and Level 2 financial assets and liabilities:</w:t>
      </w:r>
    </w:p>
    <w:p>
      <w:pPr>
        <w:spacing w:after="0" w:line="181" w:lineRule="exact"/>
        <w:rPr>
          <w:sz w:val="20"/>
          <w:szCs w:val="20"/>
          <w:color w:val="auto"/>
        </w:rPr>
      </w:pP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225" w:lineRule="exact"/>
        <w:rPr>
          <w:rFonts w:ascii="Arial" w:cs="Arial" w:eastAsia="Arial" w:hAnsi="Arial"/>
          <w:sz w:val="18"/>
          <w:szCs w:val="18"/>
          <w:color w:val="auto"/>
        </w:rPr>
      </w:pPr>
    </w:p>
    <w:p>
      <w:pPr>
        <w:ind w:left="1140" w:right="120" w:hanging="322"/>
        <w:spacing w:after="0" w:line="277" w:lineRule="auto"/>
        <w:tabs>
          <w:tab w:leader="none" w:pos="114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 valued at the active quoted market price from broker or dealer quotations or transparent pricing sources at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rFonts w:ascii="Arial" w:cs="Arial" w:eastAsia="Arial" w:hAnsi="Arial"/>
          <w:sz w:val="18"/>
          <w:szCs w:val="18"/>
          <w:i w:val="1"/>
          <w:iCs w:val="1"/>
          <w:color w:val="auto"/>
        </w:rPr>
      </w:pPr>
    </w:p>
    <w:p>
      <w:pPr>
        <w:ind w:left="1140" w:right="480" w:hanging="322"/>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w:t>
      </w:r>
    </w:p>
    <w:p>
      <w:pPr>
        <w:spacing w:after="0" w:line="170" w:lineRule="exact"/>
        <w:rPr>
          <w:rFonts w:ascii="Arial" w:cs="Arial" w:eastAsia="Arial" w:hAnsi="Arial"/>
          <w:sz w:val="18"/>
          <w:szCs w:val="18"/>
          <w:color w:val="auto"/>
        </w:rPr>
      </w:pPr>
    </w:p>
    <w:p>
      <w:pPr>
        <w:ind w:left="1140" w:right="400" w:hanging="322"/>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Available-for-sale equity securities </w:t>
      </w:r>
      <w:r>
        <w:rPr>
          <w:rFonts w:ascii="Arial" w:cs="Arial" w:eastAsia="Arial" w:hAnsi="Arial"/>
          <w:sz w:val="18"/>
          <w:szCs w:val="18"/>
          <w:color w:val="auto"/>
        </w:rPr>
        <w:t>— valued using quoted stock prices from the London Exchange at the reporting date and translated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Dollars at prevailing spot exchange rates.</w:t>
      </w:r>
    </w:p>
    <w:p>
      <w:pPr>
        <w:spacing w:after="0" w:line="170" w:lineRule="exact"/>
        <w:rPr>
          <w:rFonts w:ascii="Arial" w:cs="Arial" w:eastAsia="Arial" w:hAnsi="Arial"/>
          <w:sz w:val="18"/>
          <w:szCs w:val="18"/>
          <w:color w:val="auto"/>
        </w:rPr>
      </w:pPr>
    </w:p>
    <w:p>
      <w:pPr>
        <w:ind w:left="1140" w:right="80" w:hanging="322"/>
        <w:spacing w:after="0" w:line="264"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swap derivative assets and liabilities </w:t>
      </w:r>
      <w:r>
        <w:rPr>
          <w:rFonts w:ascii="Arial" w:cs="Arial" w:eastAsia="Arial" w:hAnsi="Arial"/>
          <w:sz w:val="18"/>
          <w:szCs w:val="18"/>
          <w:color w:val="auto"/>
        </w:rPr>
        <w:t>— valued using the LIBOR/EURIBOR yield curves at the reporting date.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contracts are highly rated financial institutions, none of which experienced any significant downgrades during the year ended December 31, 2012 that would reduce the receivable amount owed, if any, to the Company.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140" w:right="40" w:hanging="322"/>
        <w:spacing w:after="0" w:line="264"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 none of which experienced any significant downgrades during the year ended December 31, 2011 that would reduce the receivable amount owed, if any, to the Company.</w:t>
      </w:r>
    </w:p>
    <w:p>
      <w:pPr>
        <w:spacing w:after="0" w:line="181" w:lineRule="exact"/>
        <w:rPr>
          <w:rFonts w:ascii="Arial" w:cs="Arial" w:eastAsia="Arial" w:hAnsi="Arial"/>
          <w:sz w:val="18"/>
          <w:szCs w:val="18"/>
          <w:color w:val="auto"/>
        </w:rPr>
      </w:pPr>
    </w:p>
    <w:p>
      <w:pPr>
        <w:ind w:left="1140" w:right="100" w:hanging="322"/>
        <w:spacing w:after="0" w:line="302"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Cash conversion feature of cash convertible notes and purchased convertible note hedge </w:t>
      </w:r>
      <w:r>
        <w:rPr>
          <w:rFonts w:ascii="Arial" w:cs="Arial" w:eastAsia="Arial" w:hAnsi="Arial"/>
          <w:sz w:val="16"/>
          <w:szCs w:val="16"/>
          <w:color w:val="auto"/>
        </w:rPr>
        <w:t>— valued using quoted prices for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cash convertible notes, its implied volatility and the quoted yield on the Company’s other long-term debt at the reporting date. Counterparties to the purchased convertible note hedge are highly rated financial institutions, none of which experienced any significant downgrades during the year ended December 31, 2012 that would reduce the receivable amount owed, if any, to the Company.</w:t>
      </w:r>
    </w:p>
    <w:p>
      <w:pPr>
        <w:spacing w:after="0" w:line="154"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fair value measurement of contingent consideration is determined using Level 3 inputs. The Company’s contingent consideration represents a component of the total purchase consideration for the Respiratory Delivery Platform and certain other acquisitions made during 2011. The measurement is calculated using unobservable inputs based on the Company’s own assumptions. Significant unobservable inputs in the valuation include the probability and timing of future development and commercial milestones and future profit sharing payments. A discounted cash flow method was used to value contingent consideration at December 31, 2012 and 2011, which was calculated as the present value of the estimated future net cash flows using a market rate of return. Discount rates ranging from 1.6% to 10.5% were utilized in the valuation. Significant changes in unobservable inputs could result in material changes to the contingent consideration liability. During the year ended December 31, 2012, the Company recorded in interest expense $30.7 million of accretion, a fair value adjustment to increase the liability of approximately $8.0 million, and payments of $0.5 million.</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financial assets and liabilities, any future transacted financial asset or liability will be evaluated for the fair value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amortized cost and estimated fair value of available-for-sale securities, included in prepaid expenses and other current assets, were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1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6"/>
                <w:szCs w:val="16"/>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2012</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21,276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22,826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21,276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22,928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December 31, 2011</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22,263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23,754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22,263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23,926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available-for-sale debt securities at fair value as of December 31, 2012,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6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Mature within one year</w:t>
            </w:r>
          </w:p>
        </w:tc>
        <w:tc>
          <w:tcPr>
            <w:tcW w:w="654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Mature in one to five years</w:t>
            </w:r>
          </w:p>
        </w:tc>
        <w:tc>
          <w:tcPr>
            <w:tcW w:w="6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Mature in five years and later</w:t>
            </w:r>
          </w:p>
        </w:tc>
        <w:tc>
          <w:tcPr>
            <w:tcW w:w="6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6040" w:type="dxa"/>
            <w:vAlign w:val="bottom"/>
            <w:vMerge w:val="restart"/>
          </w:tcPr>
          <w:p>
            <w:pPr>
              <w:jc w:val="right"/>
              <w:ind w:right="4050"/>
              <w:spacing w:after="0"/>
              <w:rPr>
                <w:sz w:val="20"/>
                <w:szCs w:val="20"/>
                <w:color w:val="auto"/>
              </w:rPr>
            </w:pPr>
            <w:r>
              <w:rPr>
                <w:rFonts w:ascii="Arial" w:cs="Arial" w:eastAsia="Arial" w:hAnsi="Arial"/>
                <w:sz w:val="18"/>
                <w:szCs w:val="18"/>
                <w:color w:val="auto"/>
              </w:rPr>
              <w:t>94</w:t>
            </w: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04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Receivables Facility</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February 2012, MPI entered into a $300 million accounts receivable securitization facility, which was expanded to $400 million in July 2012, pursuant to (i) a Purchase and Contribution Agreement, between MPI and Mylan Securitization, and (ii) a Receivables Purchase Agreement, among Mylan Securitization, as seller, MPI, as originator and servicer, certain conduit purchasers, committed purchasers and letter of credit issuers from time to time party thereto (collectively, the “Purchasers”), certain purchaser agents from time to time party thereto and The Bank of Tokyo-Mitsubishi UFJ, Ltd., New York Branch, as agent (the “Agent”). The Company agreed to enter into a performance guarantee with respect to the obligations of MPI under these agreements.</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Purchase and Contribution Agreement, MPI will sell, on an ongoing basis, certain accounts receivable, related assets and the right to the collections on those accounts receivable to Mylan Securitization. Once sold to Mylan Securitization, the accounts receivable, related assets and rights to collection described above will be separate and distinct from MPI’s own assets and will not be available to MPI’s creditors should MPI become insolvent. The servicing, administration and collection of the accounts receivable will be conducted by MPI, as servicer. Under the terms of the Receivables Purchase Agreement, Mylan Securitization may, from time to time, obtain up to $400 million (in the form of cash or letters of credit for the benefit of MPI) from the Purchasers through the sale of its interest in such receivables, related assets and collections. The size of the accounts receivable securitization facility may be increased from time to time, upon request by Mylan Securitization and with the consent of the purchaser agents and the Agent, up to a maximum of $500 million. Purchases under the Receivables Purchase Agreement will be repaid as accounts receivable are collected, with new purchases being advanced as new accounts receivable are originated by MPI and sold to Mylan Securitization, with settlement occurring monthly. Mylan Securitization has the option to reduce the commitments under the Receivables Purchase Agreement. Mylan Securitization’s assets have been pledged to the Agent in support of its obligations under the Receivables Purchase Agreement. Any amounts outstanding under the facility will be recorded as a secured loan and the receivables underlying any borrowings will continue to be included in accounts receivable, net, in the Consolidated Balance Sheets of the Company. The accounts receivable securitization facility has a term of three years.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Receivables Purchase Agreement contains various customary affirmative and negative covenants and also contains customary default and termination provisions, which provide for acceleration of amounts owed under the Receivables Purchase Agreement upon the occurrence of certain specified events, including, but not limited to, failure by Mylan Securitization to pay interest and other amounts due, defaults on certain indebtedness, certain judgments, change in control, certain events negatively affecting the overall credit quality of transferred accounts receivable, bankruptcy and insolvency events.</w:t>
      </w:r>
    </w:p>
    <w:p>
      <w:pPr>
        <w:spacing w:after="0" w:line="18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As of December 31, 2012, the Consolidated Balance Sheets include $556.5 million of accounts receivable balances sold to Mylan Securitization, as well as $180 million of short-term borrowings. The interest rate on borrowings under this facility was approximately 0.99% at December 31, 2012.</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Mylan Securitization holds trade accounts receivable whose cash flows are the primary source of repayment for its liabilities. Investors only have recourse to the assets held by Mylan Securitization. The Company is involved in these arrangements to the extent that it originates the accounts receivable and provides servicing activities.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6"/>
                <w:szCs w:val="16"/>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2011</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Term Loans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2017 Senior Notes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550,000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818,774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2020 Senior Notes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1,013,372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1,014,643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Convertible Notes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1,136,768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937,160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Convertible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593,983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3,666</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5,431,948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5,168,226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94,752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689,146</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5,337,196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4,479,080</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Facilities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November 2011, the Company entered into a Senior Credit Agreement with a syndication of banks, which provided $1.25 billion in U.S. Term Loans (the “U.S. Term Loans”) and contains a $1.25 billion revolving facility (the “Revolving Facility,” and together with the U.S. Term Loans, the “Senior Credit Facilities”). Quarterly amortization payments due on the U.S. Term Loans were paid in March 2012, June 2012, September 2012 and December 2012, in the amount of $23.4 million for each quarter. At December 31, 2012, the Company had no amounts outstanding under the Revolving Facility. The interest rate on the Revolving Facility at December 31, 2012 was 1.61%.</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Revolving Facility consists of a $750 million U.S. dollar-denominated tranche (the “U.S. Revolving Facility”) and a $500 million alternative currency tranche (the “Alternative Currency Revolving Facility”). The U.S. Revolving Facility is available to the Company for borrowings in U.S. Dollars, and the Alternative Currency Revolving Facility is available to the Company for borrowings in U.S. Dollars, Euros, Sterling, Yen and such other currencies as are acceptable to each lender under the Alternative Currency Revolving Facility. The Revolving Facility includes a $125 million subfacility for the issuance of letters of credit and a $100 million subfacility for swingline borrowings. The Company may incur additional term loan commitments or increases in the amount of the commitments under the Revolving Facility (the “Incremental Commitments”) in an aggregate principal amount of up to $750 million plus any previously made scheduled or voluntary (other than any debt refinanced) principal payments of U.S. Term Loans from Lenders or other financial institutions designated by the Company, to the extent agreed by such Lenders or other financial institutions. The Senior Credit Facilities are guaranteed by substantially all of the Company’s domestic subsidiaries (the “Guarantors”). Prior to November 20, 2012, the Senior Credit Facilities were also secured by a pledge of the capital stock of substantially all direct subsidiaries of the Company and the Guarantors (limited to 65% of outstanding voting stock of foreign holding companies and any foreign subsidiaries) and substantially all of the other tangible and intangible property and assets of the Company and the Guarantors.</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November 20, 2012, the Company announced that Moody’s Investors Service (“Moody’s”) upgraded its corporate credit ratings to Baa3 from Ba1 and that Standard &amp; Poor’s Ratings Services (“S&amp;P”) upgraded its credit ratings to BBB- from BB+. The ratings upgrades caused a “covenant suspension period” to occur under the Senior Credit Facilities, which, among other things, suspended the requirement that it comply with the interest coverage ratio provided for therein, effectively suspended a number of negative covenants, including those limiting the amount of restricted payments, investments and prepayments of specified indebtedness, and modified the covenant as to the incurrence of indebtedness, for so long as the Company maintains an investment grade credit rating with both Moody’s and S&amp;P. Additionally, the Company requested, and the Lenders approved, the release of all collateral from the security interest pursuant to the security documents. However, if the Company fails to maintain its investment grade credit rating with either Moody’s or S&amp;P, then it will be required to comply with all of the covenants under the Credit Agreement that are currently suspended and reinstate the collateral.</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2012, the U.S. Term Loans currently bear interest at LIBOR plus 1.75% per annum, if the Company chooses to make LIBOR borrowings, or at a base rate plus 0.75% per annum. The applicable margins over LIBOR and the base rate for the Revolving Facility and the U.S. Term Loans can fluctuate based on a calculation of the Company’s Consolidated Leverage Ratio as defined in the Senior Credit Agreement. At December 31, 2012, the Company had no amounts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outstanding under the Revolving Facility. The Company also pays a facility fee on the entire amount of the Revolving Facility. The facility fee is currently 0.35% per annum, but can decrease to 0.30% per annum based on the Company’s Consolidated Leverage Ratio, as defined in the Senior Credit Agreement.</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U.S. Term Loans mature on November 14, 2016 and require amortization payments of approximately $23.4 million per quarter in 2013, $31.3 million per quarter in 2014, $46.9 million per quarter in 2015 and $187.5 million per quarter in 2016. The Senior Credit Agreement requires prepayments of the U.S. Term Loans with the proceeds from (1) certain asset sales and casualty events, unless the Company’s Consolidated Leverage Ratio is equal to or less than 3.25 to 1.0, and (2) the proceeds from certain issuances of indebtedness not permitted by the Senior Credit Agreement. Amounts drawn on the Revolving Facility become due and payable on November 14, 2016 . The U.S. Term Loans and amounts drawn on the Revolving Facility may be voluntarily prepaid without penalty or premium.</w:t>
      </w:r>
    </w:p>
    <w:p>
      <w:pPr>
        <w:spacing w:after="0" w:line="19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Senior Credit Agreement contains customary affirmative covenants for facilities of this type, including among others, covenants pertaining to the delivery of financial statements, notices of default and certain material events, maintenance of business and insurance, collateral matters and compliance with laws, as well as customary negative covenants for facilities of this type, including limitations on the incurrence of indebtedness and liens, mergers and certain other fundamental changes, investments and loans, acquisitions, transactions with affiliates, dispositions of assets, payments of dividends and other restricted payments, prepayments or amendments to the terms of specified indebtedness and changes in our lines of business. The Senior Credit Agreement contains a financial covenant requiring maintenance of a maximum consolidated leverage ratio.</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Senior Credit Agreement contains default provisions customary for facilities of this type, which are subject to customary grace periods and materiality thresholds.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Details of the interest rates in effect at December 31, 2012 and 2011 on the outstanding borrowings under the term loans are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2012</w:t>
            </w:r>
          </w:p>
        </w:tc>
        <w:tc>
          <w:tcPr>
            <w:tcW w:w="15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22"/>
                <w:szCs w:val="22"/>
                <w:color w:val="auto"/>
              </w:rPr>
            </w:pPr>
          </w:p>
        </w:tc>
        <w:tc>
          <w:tcPr>
            <w:tcW w:w="1340" w:type="dxa"/>
            <w:vAlign w:val="bottom"/>
          </w:tcPr>
          <w:p>
            <w:pPr>
              <w:jc w:val="right"/>
              <w:ind w:right="33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22"/>
                <w:szCs w:val="22"/>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Basis</w:t>
            </w: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Rate</w:t>
            </w:r>
          </w:p>
        </w:tc>
      </w:tr>
      <w:tr>
        <w:trPr>
          <w:trHeight w:val="250"/>
        </w:trPr>
        <w:tc>
          <w:tcPr>
            <w:tcW w:w="20" w:type="dxa"/>
            <w:vAlign w:val="bottom"/>
          </w:tcPr>
          <w:p>
            <w:pPr>
              <w:spacing w:after="0"/>
              <w:rPr>
                <w:sz w:val="21"/>
                <w:szCs w:val="21"/>
                <w:color w:val="auto"/>
              </w:rPr>
            </w:pPr>
          </w:p>
        </w:tc>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Term Loans: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4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Swapped to Fixed Rate - January 2014 </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Fixed</w:t>
            </w:r>
          </w:p>
        </w:tc>
        <w:tc>
          <w:tcPr>
            <w:tcW w:w="15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0"/>
        </w:trPr>
        <w:tc>
          <w:tcPr>
            <w:tcW w:w="20" w:type="dxa"/>
            <w:vAlign w:val="bottom"/>
          </w:tcPr>
          <w:p>
            <w:pPr>
              <w:spacing w:after="0"/>
              <w:rPr>
                <w:sz w:val="23"/>
                <w:szCs w:val="23"/>
                <w:color w:val="auto"/>
              </w:rPr>
            </w:pPr>
          </w:p>
        </w:tc>
        <w:tc>
          <w:tcPr>
            <w:tcW w:w="64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Swapped to Fixed Rate - March 2014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Fixed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20" w:type="dxa"/>
            <w:vAlign w:val="bottom"/>
          </w:tcPr>
          <w:p>
            <w:pPr>
              <w:spacing w:after="0"/>
              <w:rPr>
                <w:sz w:val="21"/>
                <w:szCs w:val="21"/>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Floating Rate</w:t>
            </w:r>
          </w:p>
        </w:tc>
        <w:tc>
          <w:tcPr>
            <w:tcW w:w="2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306,250</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+ 1.75%</w:t>
            </w:r>
          </w:p>
        </w:tc>
        <w:tc>
          <w:tcPr>
            <w:tcW w:w="15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20" w:type="dxa"/>
            <w:vAlign w:val="bottom"/>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Term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1,156,250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521"/>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2011</w:t>
            </w:r>
          </w:p>
        </w:tc>
        <w:tc>
          <w:tcPr>
            <w:tcW w:w="15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Basis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Rate</w:t>
            </w:r>
          </w:p>
        </w:tc>
      </w:tr>
      <w:tr>
        <w:trPr>
          <w:trHeight w:val="250"/>
        </w:trPr>
        <w:tc>
          <w:tcPr>
            <w:tcW w:w="2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Term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LIBOR + 2.00%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____________</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79" w:lineRule="exact"/>
        <w:rPr>
          <w:sz w:val="20"/>
          <w:szCs w:val="20"/>
          <w:color w:val="auto"/>
        </w:rPr>
      </w:pPr>
    </w:p>
    <w:p>
      <w:pPr>
        <w:ind w:left="660" w:right="100" w:hanging="652"/>
        <w:spacing w:after="0" w:line="239"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Effective January 2012, $500 million of the U.S. Term Loans have been swapped to a fixed rate of 0.60% plus the specified spread under the Senior Credit Agreement through January 2014. Effective March 2012, an additional $350 million of the U.S. Term Loans have been swapped to a fixed rate of 0.45% plus the specified spread under the Senior Credit Agreement through March 2014. Effective June 2012, $750 million of the currently effective swaps have been extended to maturities ranging from March 2016 to November 2016, thereby fixing a rate of 0.91% plus the specified spread on the underlying U.S. Term Loans, for the extension period. As of December 31, 2012, the specified spread under the Senior Credit Agreement was 175 basis points. These swaps have been designated as cash flow hedges of the variability in interest expense related to our variable rate debt.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May 2010, the Company issued $550 million aggregate principal amount of 7.625% Senior Notes due 2017 (the “2017 Senior Notes”) and $700 million aggregate principal amount of 7.875% Senior Notes due 2020 (the “2020 Senior Notes”) in a private offering exempt from the registration requirements of the Securities Act of 1933 (the “Securities Act”) to qualified institutional buyers in accordance with Rule 144A and to persons outside of the United States pursuant to Regulation S under the Securities Act. In July 2010, the Company privately placed $300 million aggregate principal amount of senior notes through a reopening of the 2020 Senior Notes. The notes were issued at a price of 105.5%, giving an effective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yield to maturity of 7.087%. The 2017 Senior Notes and 2020 Senior Notes are the Company’s senior unsecured obligations and are guaranteed on a senior unsecured basis by certain of the Company’s domestic subsidiaries.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2017 Senior Notes bear interest at a rate of 7.625% per year, accruing from May 19, 2010. Interest on the 2017 Senior Notes is payable semiannually in arrears on January 15 and July 15 of each year, beginning on January 15, 2011. The 2017 Senior Notes will mature on July 15, 2017, subject to earlier repurchase or redemption in accordance with the terms of the indenture. The 2020 Senior Notes bear interest at a rate of 7.875% per year, accruing from May 19, 2010. Interest on the 2020 Senior Notes is payable semiannually in arrears on January 15 and July 15 of each year, beginning on January 15, 2011. The 2020 Senior Notes will mature on July 15, 2020, subject to earlier repurchase or redemption in accordance with the terms of the indenture. At December 31, 2012, the $1.01 billion of debt associated with the 2020 Senior Notes includes a $13.4 million premium.</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may redeem some or all of the 2017 Senior Notes at any time prior to July 15, 2014, and some or all of the 2020 Senior Notes at any time prior to July 15, 2015, in each case at a price equal to 100% of the principal amount redeemed plus accrued and unpaid interest, if any, to the redemption date and an applicable make-whole premium set forth in the indenture. On or after July 15, 2014 in the case of the 2017 Senior Notes, and on or after July 15, 2015 in the case of the 2020 Senior Notes, the Company may redeem some or all of the 2017 Senior Notes and 2020 Senior Notes of such series at redemption prices set forth in the indenture, plus accrued and unpaid interest, if any, to the redemption date. In addition, at any time prior to July 15, 2013, the Company may redeem up to 35% of the aggregate principal amount of either series of the 2017 Senior Notes and 2020 Senior Notes at a specified redemption price set forth in the indenture with the net cash proceeds of certain equity offerings. If the Company experiences certain change of control events, it must offer to repurchase the 2017 Senior Notes and 2020 Senior Notes at 101% of their principal amount, plus accrued and unpaid interest, if any, to the repurchase date.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November 2010, the Company issued $800 million aggregate principal amount of 6.0% Senior Notes due 2018. These notes were issued in a private offering exempt from the registration requirements of the Securities Act to qualified institutional buyers in accordance with Rule 144A and to persons outside of the United States pursuant to Regulation S under the Securities Act. The 2018 Senior Notes are Mylan’s senior unsecured obligations and are guaranteed on a senior unsecured basis by certain of the Company’s domestic subsidiaries.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2018 Senior Notes bear interest at a rate of 6.0% per year, accruing from November 24, 2010. Interest on the 2018 Senior Notes is payable semiannually in arrears on May 15 and November 15 of each year, beginning on May 15, 2011. The 2018 Senior Notes will mature on November 15, 2018, subject to earlier repurchase or redemption in accordance with the terms of the indenture. At December 31, 2012, the $827.0 million of 2018 Senior Notes is net of an $9.7 million discount and includes a fair value adjustment of $36.6 million. The Company has entered into interest rate swaps that convert $500 million of the outstanding fixed rate 2018 Senior Notes principal to a variable rate. The variable rate was 3.27% at December 31, 2012.</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may redeem some or all of the 2018 Senior Notes at any time prior to November 15, 2014 at a price equal to 100% of the principal amount redeemed plus accrued and unpaid interest, if any, to the redemption date and an applicable make-whole premium set forth in the indenture. On or after November 15, 2014 the Company may redeem some or all of the 2018 Senior Notes at redemption prices set forth in the indenture, plus accrued and unpaid interest, if any, to the redemption date. In addition, at any time prior to November 15, 2013, the Company may redeem up to 35% of the aggregate principal amount of the 2018 Senior Notes at a specified redemption price set forth in the indenture with the net cash proceeds of certain equity offerings. If the Company experiences certain change of control events, it must offer to repurchase the 2018 at 101% of their principal amount, plus accrued and unpaid interest, if any, to the repurchase date.</w:t>
      </w:r>
    </w:p>
    <w:p>
      <w:pPr>
        <w:spacing w:after="0" w:line="18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May 2010, the Company used $1.00 billion of the net proceeds of the initial 2017 Senior Notes and 2020 Senior Notes offering to repay a portion of the U.S. Tranche B Term Loans due under the terms of its Prior Credit Agreement. In September 2010, the Company also repaid an additional amount of $300.0 million of debt under the Prior Credit Agreement, by repaying the remaining balance of the U.S. Tranche A Term Loans and a portion of the</w:t>
      </w:r>
    </w:p>
    <w:p>
      <w:pPr>
        <w:ind w:right="80"/>
        <w:spacing w:after="0" w:line="255" w:lineRule="auto"/>
        <w:rPr>
          <w:sz w:val="20"/>
          <w:szCs w:val="20"/>
          <w:color w:val="auto"/>
        </w:rPr>
      </w:pPr>
      <w:r>
        <w:rPr>
          <w:rFonts w:ascii="Arial" w:cs="Arial" w:eastAsia="Arial" w:hAnsi="Arial"/>
          <w:sz w:val="18"/>
          <w:szCs w:val="18"/>
          <w:color w:val="auto"/>
        </w:rPr>
        <w:t>U.S. Tranche B Term Loans, using cash on hand. In November 2010, the Company used $800 million of gross proceeds from the 2018 Senior Notes offering to repay an additional portion of the U.S. Tranche B Term Loans due under the terms of its Prior Credit Agreement. As a result of these repayments, the Company reduced senior secured leverage and extended the maturity profile of Mylan’s outstanding indebtedness.</w:t>
      </w:r>
    </w:p>
    <w:p>
      <w:pPr>
        <w:spacing w:after="0" w:line="19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December 2012, the Company issued $750 million aggregate principal amount of 3.125% Senior Notes due 2023 (“2023 Senior Notes”). These notes were issued in a private offering exempt from the registration requirements of the Securities Act to qualified institutional buyers in accordance with Rule 144A and to persons outside of the United States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Regulation S under the Securities Act. The 2023 Senior Notes are Mylan’s senior unsecured obligations and are guaranteed on a senior unsecured basis by certain of the Company’s domestic subsidiaries.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2023 Senior Notes bear interest at a rate of 3.125% per year, accruing from December 21, 2012. Interest on the 2023 Senior Notes is payable semiannually in arrears on January 15 and July 15 of each year, beginning on July 15, 2013. The 2023 Senior Notes will mature on January 15, 2023, subject to earlier repurchase or redemption in accordance with the terms of the indenture. At December 31, 2012, the $748.5 million of debt associated with the 2023 Senior Notes includes a $1.5 million discount.</w:t>
      </w:r>
    </w:p>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Company may redeem some or all of the 2023 Senior Notes at any time prior to maturity at a price equal to the greater of 100% of the principal amount of notes being redeemed or the sum of the present values of the remaining scheduled payments of principal and interest on the notes being redeemed discounted to the redemption date on a semi-annual basis at the Treasury Rate plus 20 basis points, plus in each case accrued and unpaid interest on the notes being redeemed accrued to the redemption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Convertible Notes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September 2008, Mylan issued $575 million aggregate principal amount of Cash Convertible Notes due 2015 (the “Cash Convertible Notes”). The Cash Convertible Notes bear stated interest at a rate of 3.75% per year, accruing from September 15, 2008. The effective interest rate used for interest expense purposes is 9.5%. Interest is payable semi-annually in arrears on March 15 and September 15 of each year, beginning on March 15, 2009. The Cash Convertible Notes will mature on September 15, 2015, subject to earlier repurchase or conversion. Holders may convert their notes subject to certain conversion provisions determined by the market price of the Company’s common stock, specified distributions to common shareholders, a fundamental change, and certain time periods specified in the purchase agreement. The Cash Convertible Notes had an initial conversion reference rate of 75.0751 shares of common stock per $1,000 principal amount (equivalent to an initial conversion reference price of $13.32 per share), subject to standard anti-dilution adjustments, with the principal amount and remainder payable in cash. These adjustments include stock splits, issuances of dividends, rights, warrants, other securities, indebtedness, other assets or property to all holders of our common stock, or other issuances to all holders of our common stock on a preferential basis, and are designed to protect the economic position of the note holder by restoring the value of the note from the impact of such dilutive transactions. The Cash Convertible Notes are not convertible into our common stock or any other securities under any circumstance.</w:t>
      </w:r>
    </w:p>
    <w:p>
      <w:pPr>
        <w:spacing w:after="0" w:line="17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September 15, 2008, concurrent with the sale of the Cash Convertible Notes, Mylan entered into a convertible note hedge and warrant transaction with certain counterparties. Pursuant to the warrant transactions, the Company sold to the counterparties warrants to purchase in the aggregate up to approximately 43.2 million shares of Mylan common stock, subject to anti-dilution adjustments substantially similar to the anti-dilution adjustments for the Cash Convertible Notes, which under most circumstances represents the maximum number of shares that underlie the conversion reference rate for the Cash Convertible Notes. The sold warrants had an exercise price of $20.00 and will be net share settled, meaning that Mylan will issue a number of shares per warrant corresponding to the difference between its share price at each warrant expiration date and the exercise price. The warrants meet the definition of derivatives under the guidance in ASC 815; however, because these instruments have been determined to be indexed to the Company’s own stock and meet the criteria for equity classification under ASC 815-40, the warrants have been recorded in shareholders’ equity in the Consolidated Balance Sheets.</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the third quarter of 2011, the Company entered into amendments with the counterparties to exchange the original warrants with an exercise price of $20.00 (the “Old Warrants”) with new warrants with an exercise price of $30.00 (the “New Warrants”). Approximately 41.0 million of the Old Warrants were exchanged in the transaction. All other terms and settlement provisions of the Old Warrants remain unchanged in the New Warrants. As part of the amendments, the Company paid the holders of the Old Warrants approximately $3.66 per warrant or $150 million in total.</w:t>
      </w:r>
    </w:p>
    <w:p>
      <w:pPr>
        <w:spacing w:after="0" w:line="17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At December 31, 2012, the total liability of $1.14 billion consists of $500.5 million of debt ($575.0 million face amount, net of $74.5 million discount) and the bifurcated conversion feature with a fair value of $636.3 million recorded as a liability within long-term debt at December 31, 2012. Additionally, the Company has purchased call options, which are recorded as assets at their fair value of $636.3 million within other assets at December 31, 2012. At December 31, 2011, the total liability of $937.2 million consisted of $477.2 million of debt ($575.0 million face amount, net of $97.8 million discount) and the bifurcated conversion feature with a fair value of $460.0 million recorded as a liability within other long-term obligations in the Consolidated Balance Sheets. The purchased call options are assets recorded at their fair value of $460.0 million within other assets in the Consolidated Balance Sheets at December 31, 2011.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Holders may convert their notes subject to certain conversion provisions including (i) during any quarter if the closing price of our common stock exceeds 130% of the respective conversion price per share. During a defined period at the end of the previous quarter; (ii) during a defined period following five consecutive trading days in which the trading price per $1,000 principal amount was less than 98% of the product of the closing price of our common stock on such day and the applicable conversion reference rate; (iii) if the Company makes specified distributions to holders of our common stock including sales of rights or common stock on a preferential basis, certain distribution of assets or other securities or rights to all holders of our common stock or certain transactions resulting in substantially all shares of our common stock being converted into cash, securities or other property; or (iv) upon a change of control or if our securities cease to be traded on a major U.S. stock exchange. The amount payable per $1,000 notional bond would be calculated as the product of (1) the conversion reference rate (currently 75.0751) and (2) the average Daily Volume Weighted Average Price per share of common stock for a specified period following the conversion date. Any payment above the principal amount is matched by a convertible note hedge.</w:t>
      </w:r>
    </w:p>
    <w:p>
      <w:pPr>
        <w:spacing w:after="0" w:line="167"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As of December 31, 2012, because the closing price of our common stock for at least 20 trading days in the period of 30 consecutive trading days ending on the last trading day in the December 31, 2012 period, was more than 130% of the applicable conversion reference price of $13.32, the $575.0 million of Cash Convertible Notes was currently convertible. During the quarter ending December 31, 2012, the Company received requests to convert $1.0 million of the Cash Convertible Notes. These requests will require the Company to pay the full conversion value in cash in March 2013. Accordingly, $1.0 million of the balance outstanding under the Cash Convertible Notes has been reclassified to short-term debt as of December 31, 2012. Although the Company’s experience has been that convertible debentures are not normally converted by investors until close to their maturity date, it is possible that additional debentures could be converted prior to their maturity date if, for example, a holder perceives the market for the debentures to be weaker than the market for the common stock. Upon an investor’s election to convert, the Company is required to pay the full conversion value in cash. Any payment above the principal amount is matched by a convertible note hedge. Should additional holders elect to convert, the Company may elect to draw on its Revolving Facility to fund any principal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March 2007, Mylan issued $600 million aggregate principal amount of 1.25% Senior Convertible Notes due 2012 (the “Senior Convertible Notes”). At December 31, 2011, the $594.0 million of debt was net of $6.0 million discount, which was included in the current portion of long-term debt. The effective interest rate used for interest expense purposes was 6.4%. Interest was payable semiannually in arrears on March 15 and September 15 of each year, beginning September 15, 2007. The Senior Convertible Notes matured on March 15, 2012 and were repaid in full.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December 31, 2012, the fair value of the Senior Notes was approximately $3.43 billion, and at December 31, 2011, the fair value of the Senior Notes and Senior Convertible Notes was approximately $3.15 billion. At December 31, 2012 and December 31, 2011, the fair value of the Cash Convertible Notes was approximately $1.22 billion and $1.00 billion, respectively. The fair values of the Senior Notes and Cash Convertible Notes were valued at quoted market prices from broker or dealer quotations and were classified as Level 2 in the fair value hierarchy. Based on quoted market rates of interest and maturity schedules for similar debt issues, the fair values of the U.S. Term Loans and Revolving Facility, determined based on Level 2 inputs, approximate their carrying values at December 31, 2012 and December 31, 2011.</w:t>
      </w:r>
    </w:p>
    <w:p>
      <w:pPr>
        <w:spacing w:after="0" w:line="19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borrowings under the term loans and notes at December 31, 2012, excluding the discounts, premium and conversion features, are as follows for each of the periods ending December 31: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Convertible</w:t>
            </w:r>
          </w:p>
        </w:tc>
        <w:tc>
          <w:tcPr>
            <w:tcW w:w="240" w:type="dxa"/>
            <w:vAlign w:val="bottom"/>
          </w:tcPr>
          <w:p>
            <w:pPr>
              <w:spacing w:after="0"/>
              <w:rPr>
                <w:sz w:val="14"/>
                <w:szCs w:val="14"/>
                <w:color w:val="auto"/>
              </w:rPr>
            </w:pPr>
          </w:p>
        </w:tc>
        <w:tc>
          <w:tcPr>
            <w:tcW w:w="88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U.S. Term Loans</w:t>
            </w:r>
          </w:p>
        </w:tc>
        <w:tc>
          <w:tcPr>
            <w:tcW w:w="14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Senior</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Senior</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Senior</w:t>
            </w:r>
          </w:p>
        </w:tc>
        <w:tc>
          <w:tcPr>
            <w:tcW w:w="2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Senior</w:t>
            </w:r>
          </w:p>
        </w:tc>
        <w:tc>
          <w:tcPr>
            <w:tcW w:w="280" w:type="dxa"/>
            <w:vAlign w:val="bottom"/>
          </w:tcPr>
          <w:p>
            <w:pPr>
              <w:spacing w:after="0"/>
              <w:rPr>
                <w:sz w:val="12"/>
                <w:szCs w:val="12"/>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Notes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Notes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93,750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94,752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187,500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573,998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761,498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2,550,000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1,156,250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800,000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4,831,250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7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Comprehensive Earnings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other comprehensive earnings (loss), before tax,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Unrecognized loss and prior service cost arising during the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(13,293)</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Actuarial loss included in 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Less: Amortization of prior service cost included in net earnings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 in unrecognized loss and prior service cost related to defined benefit plans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in cash flow hedging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Amount of gain (loss) recognized in AOCE on derivatives (effective portion)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(28,116)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(70,273)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Reclassification of loss from AOCE into earnings (effective portion)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(51,198)</w:t>
            </w:r>
          </w:p>
        </w:tc>
      </w:tr>
      <w:tr>
        <w:trPr>
          <w:trHeight w:val="297"/>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unrecognized gain (loss) on derivatives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18,487</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46,910</w:t>
            </w:r>
          </w:p>
        </w:tc>
      </w:tr>
      <w:tr>
        <w:trPr>
          <w:trHeight w:val="257"/>
        </w:trPr>
        <w:tc>
          <w:tcPr>
            <w:tcW w:w="7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unrealized (loss) gain on marketable securities: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Less: Reclassification for gain (loss) included in net earnings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unrealized (loss) gain on marketable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Consolidated Balance Sheets, is comprised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unrealized gains on marketable securities, net of tax</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unrecognized losses and prior service costs related to defined benefit plans,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unrecognized losses on derivatives, net of tax</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(43,719)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(39,360)</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(87,839)</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5580"/>
              <w:spacing w:after="0"/>
              <w:rPr>
                <w:sz w:val="20"/>
                <w:szCs w:val="20"/>
                <w:color w:val="auto"/>
              </w:rPr>
            </w:pPr>
            <w:r>
              <w:rPr>
                <w:rFonts w:ascii="Arial" w:cs="Arial" w:eastAsia="Arial" w:hAnsi="Arial"/>
                <w:sz w:val="18"/>
                <w:szCs w:val="18"/>
                <w:color w:val="auto"/>
              </w:rPr>
              <w:t>101</w:t>
            </w: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 (benefit) consisted of the following components: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167,172</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96,725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(72,518)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28,138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82,471</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137,061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124,863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Puerto Rico:</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68,605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67,338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(87,565)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(67,555)</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161,145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before income taxes and noncontrolling interest: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690,545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537,009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(273,699)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117,627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629,643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earnings before income taxes and noncontrolling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804,079</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654,636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355,944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2011, the benefit from the reduction of the deferred tax liability related to intangible assets was greater than the amount of foreign current taxes payable that related to the foreign pre-tax income for the year.</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2010, the allocation of earnings (loss) before income taxes and noncontrolling interest between domestic and foreign operations includes intercompany interest between certain domestic and foreign subsidiaries, which was eliminated on a consolidated basis. The impact of this intercompany financing arrangement in 2010 was to decrease the amount of domestic earnings (loss) before income taxes and noncontrolling interest, with a corresponding increase to the foreign amount. While this arrangement increased the amount of earnings (loss) before income taxes and noncontrolling interest allocated to foreign operations, the taxation of these earnings was included in the calculation of the Company’s taxable income reported on its U.S. corporate income tax returns. In 2012 and 2011, the expense for inter-company interest is no longer reflected in domestic earnings (loss). Instead, the expense is now a component of foreign earnings (loss) as a result of a reorganization in which assets and liabilities were transferred to a foreign entity. Accordingly, in 2011, domestic earnings increased, and foreign earnings correspondingly decreased, relative to 2010 by the amount of inter-company interest expense now reflected in foreign earnings.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Temporary differences and carryforwards that result in the deferred tax assets and liabilities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119,434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92,983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matters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68,398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receivable allowances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120,718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101,342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reserves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28,230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operating losses carryforward</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293,251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258,482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49,151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Capital loss carryforward</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19,324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82,201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133,959</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829,652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(231,436)</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598,216</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110,392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371,880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514,203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41,476</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539,571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666,071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 (liabilities),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For those foreign subsidiaries whose investments are permanent in duration, U.S. income and foreign withholding taxes have not been provided on the amount by which the investment in those subsidiaries as recorded for financial reporting exceeds the tax basis. This amount becomes taxable upon a repatriation of assets from the subsidiary or a sale or liquidation of the subsidiary. The amount of such temporary differences totaled approximately $216 million at December 31, 2012. Determination of the amount of any unrecognized deferred income tax liability on this temporary difference is not practicable. No deferred taxes have been recorded on the instances whereby the Company’s investment in foreign subsidiaries is currently greater for U.S. tax purposes than for GAAP purposes, as management has no current plans that would cause that temporary difference to reverse in the foreseeable future.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tax rate to the effective tax rate is as follows:</w:t>
      </w:r>
    </w:p>
    <w:p>
      <w:pPr>
        <w:spacing w:after="0" w:line="27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23495</wp:posOffset>
            </wp:positionV>
            <wp:extent cx="2915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gridSpan w:val="2"/>
          </w:tcPr>
          <w:p>
            <w:pPr>
              <w:ind w:left="7420"/>
              <w:spacing w:after="0"/>
              <w:rPr>
                <w:sz w:val="20"/>
                <w:szCs w:val="20"/>
                <w:color w:val="auto"/>
              </w:rPr>
            </w:pPr>
            <w:r>
              <w:rPr>
                <w:rFonts w:ascii="Arial" w:cs="Arial" w:eastAsia="Arial" w:hAnsi="Arial"/>
                <w:sz w:val="14"/>
                <w:szCs w:val="14"/>
                <w:b w:val="1"/>
                <w:bCs w:val="1"/>
                <w:color w:val="auto"/>
                <w:w w:val="89"/>
              </w:rPr>
              <w:t>2012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2010</w:t>
            </w:r>
          </w:p>
        </w:tc>
      </w:tr>
      <w:tr>
        <w:trPr>
          <w:trHeight w:val="250"/>
        </w:trPr>
        <w:tc>
          <w:tcPr>
            <w:tcW w:w="6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State income taxes and credits</w:t>
            </w: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Other foreign items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Net benefit on repatriated earnings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20.0 %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Included in Other in the above table is the U.S. Internal Revenue Code Section 45 income tax credits earned from the Company's investment in a clean energy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 valuation allowance is provided when it is more likely than not that some portion or all of the deferred tax assets will not be realized. At December 31, 2012, a valuation allowance has been applied to certain foreign and state deferred tax assets in the amount of $249.4 million. The valuation allowance increased by $18.0 million during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2012, the Company has net operating loss carryforwards for international, and U.S. state income tax purposes of approximately $2.4 billion, some of which will expire in fiscal years 2013 through 2030, while others can be carried forward indefinitely. Of these loss carryforwards, $1.8 billion is related to state losses. Most of the state net operating losses are attributable to Pennsylvania, where a taxpayer’s use is limited to the greater of 20% of taxable income or $3.0 million each taxable year. In addition, the Company has foreign net operating loss carryforwards of approximately $600 million, of which $420 million can be carried forward indefinitely, with the remainder expiring in years 2013 through 2021. Most of the net operating losses (foreign and state) have a full valuation allowance.</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has $14.8 million state tax credit carryforwards expiring in various amounts in the years 2012 through 2021. No valuation allowance is recorded against these credits.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a $57.4 million foreign capital loss carryforward expiring in 2017. A full valuation allowance is recorded against this loss.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Examinations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Mylan is subject to ongoing IRS examinations and is a voluntary participant in the IRS Compliance Assurance Process (“CAP”). The years 2012, 2011 and 2010 are the open years under examination. The years 2008 and 2009 have one issue open in the IRS Appeals process. Tax and interest continue to be accrued related to certain tax positions.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major state taxing jurisdictions remain open from fiscal year 2007 through 2012, with several state audits currently in progress. The Company’s major international taxing jurisdictions remain open from 2006 through 2012, some of which are indemnified by Merck KGaA for tax assessments.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December 31, 2012 and 2011, the Company’s Consolidated Balance Sheets reflect liabilities for unrecognized tax benefits of $132.3 million and $162.9 million, of which $126.9 million and $148.4 million, respectively, would affect the Company’s effective tax rate if recognized. Accrued interest and penalties included in the Consolidated Balance Sheets were $14.8 million and $23.9 million as of December 31, 2012 and December 31, 2011. For the years ended December 31, 2012, 2011 and 2010, Mylan recognized $(9.1) million, $(0.7) million and $9.1 million, respectively, for interest (income) expense related to uncertain tax positions. Interest expense and penalties related to income taxes are included in the tax provision.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125" w:right="27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162,885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203,350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237,541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Additions for current year tax positions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5,166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prior year tax positions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prior year tax positions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Reductions due to expirations of statute of limitations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(21,508)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Addition due to acquisition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4,500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 —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132,336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162,885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203,350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believes that it is reasonably possible that the amount of unrecognized tax benefits will decrease in the next twelve months in the range of $25 million to $110 million, involving federal and state tax audits and settlements, and expirations of certain state and foreign statutes of limitations. The Company does not anticipate significant increases to the reserve within the next twelve months.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and Common Stock</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entered into a Rights Agreement (the “Rights Agreement”) with American Stock Transfer &amp; Trust Company, as rights agent, to provide the Board with sufficient time to assess and evaluate any takeover bid and explore and develop a reasonable response. Effective November 1999, the Rights Agreement was amended to eliminate certain limitations on the Board’s ability to redeem or amend the rights to permit an acquisition and also to eliminate special rights held by incumbent directors unaffiliated with an acquiring shareholder. The Rights Agreement will expire on August 13, 2014 unless it is extended or such rights are earlier redeemed or exchanged.</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fiscal year 1985, the Board authorized 5,000,000 shares of $0.50 par value preferred stock. Prior to November 19, 2007, no preferred stock had been issued. On November 19, 2007, the Company completed public offerings of 2,139,000 shares of 6.50% mandatorily convertible preferred stock (“preferred stock”) at $1,000 per share, as well as an offering of 55,440,000 shares of common stock at $14.00 per share, pursuant to a shelf registration statement previously filed with the Securities and Exchange Commission.</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preferred stock paid, when declared by the Board, dividends at a rate of 6.50% per annum on the liquidation preference of $1,000 per share, payable quarterly in arrears in cash, shares of Mylan common stock or a combination thereof at the Company’s election. According to the terms of the preferred stock offering, each share of preferred stock would automatically convert on November 15, 2010, into between 58.5480 shares and 71.4286 shares of the Company’s common stock, depending on the average daily closing price per share of the Company’s common stock over the 20 trading day period ending on the third trading day prior to November 15, 2010. The conversion rate was subject to anti-dilution adjustments in certain circumstances. Holders could elect to convert at any time at the minimum conversion rate of 58.5480 shares of common stock for each share of preferred stock. On November 15, 2010, the conversion of the 6.50% mandatorily convertible preferred stock into 125,234,172 shares of Mylan’s common stock was completed at the minimum conversion rate.</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year ended December 31, 2010, the Company paid dividends of $139.0 million on the preferred stock. Upon conversion in November 2010, the Company was no longer obligated to pay dividends on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Incentive Plan</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Mylan’s shareholders have approved the </w:t>
      </w:r>
      <w:r>
        <w:rPr>
          <w:rFonts w:ascii="Arial" w:cs="Arial" w:eastAsia="Arial" w:hAnsi="Arial"/>
          <w:sz w:val="17"/>
          <w:szCs w:val="17"/>
          <w:i w:val="1"/>
          <w:iCs w:val="1"/>
          <w:color w:val="auto"/>
        </w:rPr>
        <w:t>2003 Long-Term Incentive Plan</w:t>
      </w:r>
      <w:r>
        <w:rPr>
          <w:rFonts w:ascii="Arial" w:cs="Arial" w:eastAsia="Arial" w:hAnsi="Arial"/>
          <w:sz w:val="17"/>
          <w:szCs w:val="17"/>
          <w:color w:val="auto"/>
        </w:rPr>
        <w:t xml:space="preserve"> (as amended, the “2003 Plan”). Under the 2003 Plan, as amended, 55,300,000 shares of common stock are reserved for issuance to key employees, consultants, independent contractors and non-employee directors of Mylan through a variety of incentive awards, including: stock options, stock appreciation rights, restricted shares and units, performance awards, other stock-based awards and short-term cash awards. Stock option awards are granted at the fair value of the shares underlying the options at the date of the grant, generally become exercisable over periods ranging from three to four years, and generally expire in ten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Upon approval of the 2003 Plan, no further grants of stock options have been made under any other plan. However, there are stock options outstanding from frozen or expired plans and other plans assumed through acquisitions.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Under Option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2009</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26,268,678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2,575,039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(1,103,154)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2010</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23,840,049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4,943,178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(669,801)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23,599,256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3,130,843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(9,360,396)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(753,086)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16,616,617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15,605,011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 at December 31, 2012</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9,372,970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December 31, 2012, options outstanding, options vested and expected to vest, and options exercisable had average remaining contractual terms of 6.55 years, 6.43 years and 5.05 years, respectively. Also at December 31, 2012, options outstanding, options vested and expected to vest and options exercisable had aggregate intrinsic values of $131.5 million, $125.7 million and $92.6 million, respectively.</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summary of the status of the Company’s nonvested restricted stock and restricted stock unit awards, including performance based restricted stock, as of December 31, 2012 and the changes during the year ended December 31, 2012 are presented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 Restricted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2011</w:t>
            </w: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2,520,487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936,512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Released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spacing w:after="0"/>
              <w:rPr>
                <w:sz w:val="20"/>
                <w:szCs w:val="20"/>
                <w:color w:val="auto"/>
              </w:rPr>
            </w:pPr>
            <w:r>
              <w:rPr>
                <w:rFonts w:ascii="Arial" w:cs="Arial" w:eastAsia="Arial" w:hAnsi="Arial"/>
                <w:sz w:val="18"/>
                <w:szCs w:val="18"/>
                <w:color w:val="auto"/>
              </w:rPr>
              <w:t>(163,935)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2,498,316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Of the 936,512 awards granted during the year ended December 31, 2012, 437,919 vest ratably over three years, 438,979 vest in three years, subject to performance obligations, 46,872 vest after the first year, and 12,742 vest two-thirds after two years, with the remaining one-third vesting after the third year.</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2012, the Company had $46.0 million of total unrecognized compensation expense, net of estimated forfeitures, related to all of its stock-based awards, which will be recognized over the remaining weighted average vesting period of 1.59 years. The total intrinsic value of stock-based awards exercised and restricted stock units converted during the years ended December 31, 2012 and December 31, 2011 was $111.7 million and $62.3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With respect to options granted under the Company’s stock-based compensation plans, the fair value of each option grant was estimated at the date of grant using the Black-Scholes option pricing model. Black-Scholes utilizes assumptions related to volatility, the risk-free interest rate, the dividend yield and employee exercise behavior. 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spacing w:after="0" w:line="15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2010, the Company changed its method for estimating expected volatility from historical volatility to implied volatility. Management believes that these market-based inputs provide a better estimate of our future stock price movements and are consistent with current employee stock option valuation best practices.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276"/>
        </w:trPr>
        <w:tc>
          <w:tcPr>
            <w:tcW w:w="6400" w:type="dxa"/>
            <w:vAlign w:val="bottom"/>
          </w:tcPr>
          <w:p>
            <w:pPr>
              <w:spacing w:after="0"/>
              <w:rPr>
                <w:sz w:val="24"/>
                <w:szCs w:val="24"/>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2010</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2.5%</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(in years)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Forfeiture rate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5.5%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5.5%</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option</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$6.89</w:t>
            </w:r>
          </w:p>
        </w:tc>
      </w:tr>
      <w:tr>
        <w:trPr>
          <w:trHeight w:val="27"/>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sponsors various defined benefit pension plans in several countries. Benefit formulas are based on varying criteria on a plan by plan basis. Mylan’s policy is to fund domestic pension liabilities in accordance with the minimum and maximum limits imposed by the Employee Retirement Income Security Act of 1974 (“ERISA”) and Federal income tax laws. The Company funds non-domestic pension liabilities in accordance with laws and regulations applicable to those plans, which typically results in these plans being unfunded. The Company has a plan covering certain employees in the United States and Puerto Rico to provide for limited reimbursement of post-retirement supplemental medical coverage. In addition, in December 2001, the Supplemental Health Insurance Program for Certain Officers of the Company was adopted to provide full post-retirement medical coverage to certain officers and their spouses and dependents. These plans generally provide benefits to employees who meet minimum age and service requirements. The net amounts accrued related to these benefits were $61.2 million and $49.4 million at December 31, 2012 and 2011.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sponsors defined contribution plans covering certain of its employees in the United States and Puerto Rico, as well as certain employees in a number of countries outside the U.S. Its domestic defined contribution plans consist primarily of a 401(k) retirement plan with a profit sharing component for non-union represented employees and a 401(k) retirement plan for union-represented employees. Profit sharing contributions are made at the discretion of the Board. Its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December 2009, the Company adopted a 401(k) Restoration Plan (the “Restoration Plan”). The Restoration Plan permits employees who earn compensation in excess of the limits imposed by Section 401(a)(17) of the Internal Revenue Code of 1986, as amended (the “Code”), to (i) defer a portion of base salary and bonus 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Company’s Profit Sharing 401(k) Plan if not for the limits on contributions and deferrals imposed by the Code.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Also in December 2009, the Company adopted an Income Deferral Plan (the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spacing w:after="0" w:line="15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Total employer contributions to defined contribution plans were approximately $68.4 million, $55.0 million and $50.7 million for the years ended December 31, 2012, 2011 and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Arrangements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provides supplemental life insurance benefits to certain management employees. Such benefits require annual funding and may require accelerated funding in the event that the Company would experience a change in control.</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participates in a multi-employer pension plan under a previous union agreement. The PACE Industry Union-Management Pension Fund, (the “Plan”), provides defined benefits to certain retirees and certain production and maintenance employees at the Company’s manufacturing facility in Morgantown, West Virginia who are covered by a collective bargaining agreement. Effective with a new collective bargaining agreement entered into on April 16, 2012, the Company notified the Plan trustees of its intention to withdraw from the Plan. The withdrawal is estimated to result in an aggregate withdrawal liability of approximately $15.4 million, which was accrued during 2012. The Plan trustee is responsible for determining the ultimate amount of the withdrawal liability. The Company expects to receive notification of the ultimate withdrawal liability from the Plan trustee during 2013. The Employee Identification Number for this Plan is 11-6166763. These employees constituted approximately 6% of the Company’s total workforce at December 31, 2012 and 7% at December 31, 2011.</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years ended, December 31, 2012, 2011 and 2010 the Company made contributions to the Plan, totaling $1.8 million, $4.2 million and $3.6 million, respectively. For the Plan Years 2011 and 2010, the Company’s contributions were in excess of 5% of the total contributions for the Plan. The Pension Protection Act (“PPA”) zone status for the Plan as of December 31, 2012, 2011, and 2010 is critical. Zone status is based on information provided by the Plan to the Company. Generally, a plan is deemed to be in critical status if the funded percentage is less than 65%, which is determined by dividing the Plan’s total assets by its liabilities on the valuation date.</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a result of the critical status of the Plan, in July 2010 the trustees of the Plan adopted a rehabilitation plan, to delay the potential insolvency of the Plan. Under the rehabilitation plan, our employer contributions for 2011 and 2012 were increased by a 10% surcharge.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Mylan has two segments, “Generics” and “Specialty.” The Generics Segment primarily develops, manufactures, sells and distributes generic or branded generic pharmaceutical products in tablet, capsule, injectable or transdermal patch form, as well as API. The Specialty Segment engages mainly in the development, manufacture and sale of branded specialty nebulized and injectable products.</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Company’s chief operating decision maker evaluates the performance of its segments based on total revenues and segment profitability. Segment profitability represents segment gross profit less direct research and development expenses and direct selling, general and administrative expenses. Certain general and administrative and research and development expenses not allocated to the segments, net charges for litigation settlements, impairment charges and other expenses not directly attributable to the segments, are reported in Corporate/Other. Additionally, amortization of intangible assets and other purchase accounting related items, as well as any other significant special items, are included in Corporate/Other. Items below the earnings from operations line on the Company’s Consolidated Statements of Operations are not presented by segment, since they are excluded from the measure of segment profitability. The Company does not report depreciation expense, total assets and capital expenditures by segment, as such information is not used by the chief operating decision maker.</w:t>
      </w:r>
    </w:p>
    <w:p>
      <w:pPr>
        <w:spacing w:after="0" w:line="19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Note 2 to Consolidated Financial Statements. Intersegment revenues are accounted for at current market values and are eliminated at the consolidated level.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Generics</w:t>
            </w: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Specialty</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Corporate /</w:t>
            </w:r>
          </w:p>
        </w:tc>
        <w:tc>
          <w:tcPr>
            <w:tcW w:w="180" w:type="dxa"/>
            <w:vAlign w:val="bottom"/>
          </w:tcPr>
          <w:p>
            <w:pPr>
              <w:spacing w:after="0"/>
              <w:rPr>
                <w:sz w:val="14"/>
                <w:szCs w:val="14"/>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Other</w:t>
            </w:r>
            <w:r>
              <w:rPr>
                <w:rFonts w:ascii="Arial" w:cs="Arial" w:eastAsia="Arial" w:hAnsi="Arial"/>
                <w:sz w:val="8"/>
                <w:szCs w:val="8"/>
                <w:b w:val="1"/>
                <w:bCs w:val="1"/>
                <w:color w:val="auto"/>
                <w:w w:val="97"/>
              </w:rPr>
              <w:t>(1)</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2012</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Third party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5,981,363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814,747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6,796,110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Intersegment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36,991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5,984,451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851,738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6,796,110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1,728,911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297,115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1,109,349</w:t>
            </w: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Generics</w:t>
            </w:r>
          </w:p>
        </w:tc>
        <w:tc>
          <w:tcPr>
            <w:tcW w:w="22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Specialty</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Corporate /</w:t>
            </w:r>
          </w:p>
        </w:tc>
        <w:tc>
          <w:tcPr>
            <w:tcW w:w="180" w:type="dxa"/>
            <w:vAlign w:val="bottom"/>
          </w:tcPr>
          <w:p>
            <w:pPr>
              <w:spacing w:after="0"/>
              <w:rPr>
                <w:sz w:val="24"/>
                <w:szCs w:val="24"/>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Other</w:t>
            </w:r>
            <w:r>
              <w:rPr>
                <w:rFonts w:ascii="Arial" w:cs="Arial" w:eastAsia="Arial" w:hAnsi="Arial"/>
                <w:sz w:val="8"/>
                <w:szCs w:val="8"/>
                <w:b w:val="1"/>
                <w:bCs w:val="1"/>
                <w:color w:val="auto"/>
                <w:w w:val="97"/>
              </w:rPr>
              <w:t>(1)</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2011</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Third party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5,579,331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550,494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6,129,825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Intersegment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70,005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5,581,811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620,499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6,129,825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1,640,135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208,215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1,005,449</w:t>
            </w: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Generics</w:t>
            </w:r>
          </w:p>
        </w:tc>
        <w:tc>
          <w:tcPr>
            <w:tcW w:w="22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Specialty</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Corporate /</w:t>
            </w:r>
          </w:p>
        </w:tc>
        <w:tc>
          <w:tcPr>
            <w:tcW w:w="180" w:type="dxa"/>
            <w:vAlign w:val="bottom"/>
          </w:tcPr>
          <w:p>
            <w:pPr>
              <w:spacing w:after="0"/>
              <w:rPr>
                <w:sz w:val="24"/>
                <w:szCs w:val="24"/>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Other</w:t>
            </w:r>
            <w:r>
              <w:rPr>
                <w:rFonts w:ascii="Arial" w:cs="Arial" w:eastAsia="Arial" w:hAnsi="Arial"/>
                <w:sz w:val="8"/>
                <w:szCs w:val="8"/>
                <w:b w:val="1"/>
                <w:bCs w:val="1"/>
                <w:color w:val="auto"/>
                <w:w w:val="97"/>
              </w:rPr>
              <w:t>(1)</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2010</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Third party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5,022,554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427,968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5,450,522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Intersegment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40,116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61,772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5,062,670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489,740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5,450,522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1,398,264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60" w:right="80" w:hanging="652"/>
        <w:spacing w:after="0" w:line="226"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certain corporate general and administrative and research and development expenses; net charges for litigation settlements; certain intercompany transactions, including eliminations; amortization of intangible assets and certain purchase accounting items; impairment charges; and other expenses not directly attributable to segments.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net revenues are generated via the sale of products in the following therapeutic categories: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741,487</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343,138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Anti-infectives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1,034,332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1,005,278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783,738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1,156,348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967,680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Central Nervous System</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1,473,928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1,214,046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1,248,982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Dermatological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Endocrine and Metabolic</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645,936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535,383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433,341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Gastrointestinal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462,088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Respiratory System</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229,249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250,692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248,452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892,736</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949,792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750,647</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6,750,246</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6,106,277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5,404,266</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Other consists of numerous therapeutic classes, none of which individually exceeds 5% of consolidated net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Company’s principal geographic markets are North America, EMEA, and Asia Pacific. Net revenues are classified based on the geographic location of the customers and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Americas: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3,909,518</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3,242,985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2,656,532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188,659</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1,694,236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1,781,184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1,790,901</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924,594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855,964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768,174</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6,750,246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6,106,277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5,404,266</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60"/>
              <w:spacing w:after="0"/>
              <w:rPr>
                <w:sz w:val="20"/>
                <w:szCs w:val="20"/>
                <w:color w:val="auto"/>
              </w:rPr>
            </w:pPr>
            <w:r>
              <w:rPr>
                <w:rFonts w:ascii="Arial" w:cs="Arial" w:eastAsia="Arial" w:hAnsi="Arial"/>
                <w:sz w:val="18"/>
                <w:szCs w:val="18"/>
                <w:color w:val="auto"/>
              </w:rPr>
              <w:t>____________</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0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Net revenues in France consisted of approximately 9%, 11% and 13% of consolidated net revenues for the years ended December 31, 2012, 2011 and 2010,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leases certain property under various operating lease arrangements. These leases generally provide the Company with the option to renew the lease at the end of the lease term. For the years ended December 31, 2012, 2011 and 2010, the Company had lease expense of $39.3 million, $36.3 million and $34.2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660"/>
              <w:spacing w:after="0"/>
              <w:rPr>
                <w:sz w:val="20"/>
                <w:szCs w:val="20"/>
                <w:color w:val="auto"/>
              </w:rPr>
            </w:pPr>
            <w:r>
              <w:rPr>
                <w:rFonts w:ascii="Arial" w:cs="Arial" w:eastAsia="Arial" w:hAnsi="Arial"/>
                <w:sz w:val="18"/>
                <w:szCs w:val="18"/>
                <w:color w:val="auto"/>
              </w:rPr>
              <w:t>Future minimum lease payments under operating lease commitments are as follows: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9"/>
        </w:trPr>
        <w:tc>
          <w:tcPr>
            <w:tcW w:w="99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38,720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20,361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11,211</w:t>
            </w:r>
          </w:p>
        </w:tc>
      </w:tr>
      <w:tr>
        <w:trPr>
          <w:trHeight w:val="237"/>
        </w:trPr>
        <w:tc>
          <w:tcPr>
            <w:tcW w:w="994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115,274</w:t>
            </w:r>
          </w:p>
        </w:tc>
      </w:tr>
      <w:tr>
        <w:trPr>
          <w:trHeight w:val="27"/>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The Company is contractually obligated to make potential future development, regulatory and commercial milestone, royalty and/or profit sharing payments in conjunction with collaborative agreements or acquisitions that the Company has entered into with third parties. The most significant of these such obligations relates to the potential future consideration related to the 2011 Respiratory Delivery Platform acquisition. These payments are contingent upon the occurrence of certain future events and, given the nature of these events, it is unclear when, if ever, the Company may be required to pay such amounts. These contingent payments have not been included in the table above. Further, the timing of any future payment is not reasonably estimable. The amount of contingent consideration accrued was $379 million at December 31, 2012.</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entered into an exclusive collaboration on the development, manufacturing, supply and commercialization of multiple, high value generic biologic compounds for the global marketplace. Mylan plans to provide funding related to the collaboration over the next several years and could total approximately $50 million or more per year.</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On August 22, 2012, the Company and Pfizer Japan announced a definitive agreement to establish an exclusive long-term strategic collaboration to develop, manufacture, distribute and market generic drugs in Japan. Under the agreement, Mylan’s responsibilities primarily consist of managing operations, including research and development and manufacturing. The collaboration became operational on January 1, 2013.</w:t>
      </w:r>
    </w:p>
    <w:p>
      <w:pPr>
        <w:spacing w:after="0" w:line="166"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Additionally, Mylan has entered into product development agreements under which the Company has agreed to share in the development costs as they are incurred by our partners. As the timing of cash expenditures is dependent upon a number of factors, many of which are outside of our control, it is difficult to forecast the amount of payments to be made over the next few years, which could be significant.</w:t>
      </w:r>
    </w:p>
    <w:p>
      <w:pPr>
        <w:spacing w:after="0" w:line="16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has also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181"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In the normal course of business, Mylan periodically enters into employment, legal settlement and other agreements which incorporate indemnification provisions. While the maximum amount to which Mylan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366" w:lineRule="exact"/>
        <w:rPr>
          <w:sz w:val="20"/>
          <w:szCs w:val="20"/>
          <w:color w:val="auto"/>
        </w:rPr>
      </w:pPr>
    </w:p>
    <w:p>
      <w:pPr>
        <w:jc w:val="both"/>
        <w:ind w:right="10000" w:firstLine="8"/>
        <w:spacing w:after="0" w:line="604" w:lineRule="auto"/>
        <w:tabs>
          <w:tab w:leader="none" w:pos="324"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Contingencies Legal Proceedings</w:t>
      </w:r>
    </w:p>
    <w:p>
      <w:pPr>
        <w:ind w:right="20" w:firstLine="648"/>
        <w:spacing w:after="0" w:line="264" w:lineRule="auto"/>
        <w:rPr>
          <w:sz w:val="20"/>
          <w:szCs w:val="20"/>
          <w:color w:val="auto"/>
        </w:rPr>
      </w:pPr>
      <w:r>
        <w:rPr>
          <w:rFonts w:ascii="Arial" w:cs="Arial" w:eastAsia="Arial" w:hAnsi="Arial"/>
          <w:sz w:val="18"/>
          <w:szCs w:val="18"/>
          <w:color w:val="auto"/>
        </w:rPr>
        <w:t>The Company is involved in various disputes, governmental and/or regulatory inquiries and proceedings and litigation matters that arise from time to time, some of which are described below. The Company is also party to certain litigation matters for which Merck KGaA has agreed to indemnify the Company, pursuant to the agreement by which Mylan acquired the former Merck Generics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While the Company believes that it has meritorious defenses with respect to the claims asserted against it and intends to vigorously defend its position, the process of resolving matters through litigation or other means is inherently uncertain, and it is not possible to predict the ultimate resolution of any such proceeding. It is possible that an unfavorable resolution of any of the matters described below, or the inability or denial of Merck KGaA, another indemnitor or insurer to pay an indemnified claim, could have a material effect on the Company’s financial position, results of operations and cash flows. Unless otherwise disclosed below, the Company is unable to predict the outcome of the respective litigation or to provide an estimate of the range of reasonably possible losses. Legal costs are recorded as incurred and are classified in selling, general and administrative expenses in the Company’s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Lorazepam and Clorazepate</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On June 1, 2005, a jury verdict was rendered against Mylan, MPI, and co-defendants Cambrex Corporation and Gyma Laboratories in the</w:t>
      </w:r>
    </w:p>
    <w:p>
      <w:pPr>
        <w:spacing w:after="0" w:line="2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U.S. District Court for the District of Columbia in the amount of approximately $12.0 million, which has been accrued for by the Company. The jury found that Mylan and its co-defendants willfully violated Massachusetts, Minnesota and Illinois state antitrust laws in connection with API supply agreements entered into between the Company and its API supplier (Cambrex) and broker (Gyma) for two drugs, Lorazepam and Clorazepate, in 1997, and subsequent price increases on these drugs in 1998. The case was brought by four health insurers who opted out of earlier class action settlements agreed to by the Company in 2001 and represents the last remaining antitrust claims relating to Mylan’s 1998 price increases for Lorazepam and Clorazepate. Following the verdict, the Company filed a motion for judgment as a matter of law, a motion for a new trial, a motion to dismiss two of the insurers and a motion to reduce the verdict. On December 20, 2006, the Company’s motion for judgment as a matter of law and motion for a new trial were denied and the remaining motions were denied on January 24, 2008. In post-trial filings, the plaintiffs requested that the verdict be trebled and that request was granted on January 24, 2008. On February 6, 2008, a judgment was issued against Mylan and its co-defendants in the total amount of approximately $69.0 million, which, in the case of three of the plaintiffs, reflects trebling of the compensatory damages in the original verdict (approximately $11.0 million in total) and, in the case of the fourth plaintiff, reflects their amount of the compensatory damages in the original jury verdict plus doubling this compensatory damage award as punitive damages assessed against each of the defendants (approximately $58.0 million in total), some or all of which may be subject to indemnification obligations by Mylan. Plaintiffs are also seeking an award of attorneys’ fees and litigation costs in unspecified amounts and prejudgment interest of approximately $8.0 million. The Company and its co-defendants appealed to the U.S. Court of Appeals for the D.C. Circuit and have challenged the verdict as legally erroneous on multiple grounds. The appeals were held in abeyance pending a ruling on the motion for prejudgment interest, which has been granted. Mylan has contested this ruling along with the liability finding and other damages awards as part of its appeal, which was filed in the Court of Appeals for the D.C. Circuit. On January 18, 2011, the Court of Appeals issued a judgment remanding the case to the District Court for further proceedings based on lack of diversity with respect to certain plaintiffs. On June 13, 2011, Mylan filed a certiorari petition with the U.S. Supreme Court requesting review of the judgment of the D.C. Circuit. On October 3, 2011, the certiorari petition was denied. The case is now proceeding before the District Court. On January 14, 2013, following limited court-ordered jurisdictional discovery, Plaintiffs filed a fourth amended complaint containing additional factual averments with respect to the diversity of citizenship of the parties, along with a motion to voluntarily dismiss 755 (of 1387), self-funded customers whose presence would destroy the District Court’s diversity jurisdiction. Plaintiffs also moved for a remittitur (reduction) of approximately $8.1 million from the full damages award. Mylan's brief in response to the new factual averments in the complaint was filed on February 13, 2013. In addition to disputing the sufficiency of many of Plaintiffs’ jurisdictional averments, Mylan argues that the case should be dismissed in its entirety, or that alternatively all of the self-funded customer claims should be dismissed. Mylan also argues for additional discovery and a new trial on damages. Plaintiffs’ response is due on February 28, 2013, and Mylan’s reply is due on March 14, 2013.</w:t>
      </w:r>
    </w:p>
    <w:p>
      <w:pPr>
        <w:spacing w:after="0" w:line="39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connection with the Company’s appeal of the judgment, the Company submitted a surety bond underwritten by a third-party insurance company in the amount of $74.5 million in February 2008. On May 30, 2012, the District Court ordered the amount of the surety bond reduced to $66.6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Medicaid Litigation</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Beginning in September 2003, Mylan, MPI and/or Mylan Institutional Inc. (formerly known as UDL Laboratories, Inc. and “MII”), a wholly owned subsidiary of the Company, together with many other pharmaceutical companies, have been named in civil lawsuits filed by state attorneys general (“AGs”) and municipal bodies within the state of New York alleging generally that the defendants defrauded the state Medicaid systems by allegedly reporting “Average Wholesale Prices” and/or “Wholesale Acquisition Costs” that exceeded the actual selling price of the defendants’ prescription drugs, causing state programs to overpay pharmacies and other providers. To date, Mylan, MPI and/or MII have been named as defendants in substantially similar civil lawsuits filed by the AGs of Alabama, Alaska, California, Florida, Hawaii, Idaho, Illinois, Iowa, Kansas, Kentucky, Louisiana, Massachusetts, Mississippi, Missouri, Oklahoma, South Carolina, Texas, Utah and Wisconsin, and also by the city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New York and approximately 40 counties across New York State. Several of these cases have been transferred to the AWP multi-district litigation proceedings pending in the U.S. District Court for the District of Massachusetts for pretrial proceedings. Other cases will likely be litigated in the state courts in which they were filed. Each of the cases seeks money damages, civil penalties and/or double, treble or punitive damages, counsel fees and costs, equitable relief and/or injunctive relief. Mylan and its subsidiaries have denied liability and are defending each of these actions vigorously.</w:t>
      </w:r>
    </w:p>
    <w:p>
      <w:pPr>
        <w:spacing w:after="0" w:line="17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May 2008, an amended complaint was filed in the U.S. District Court for the District of Massachusetts by a private plaintiff on behalf of the United States of America against Mylan, MPI, MII and several other generic manufacturers. The original complaint was filed under seal in April 2000, and Mylan, MPI and MII were added as parties in February 2001. The claims against Mylan, MPI, MII and the other generic manufacturers were severed from the April 2000 complaint (which remains under seal) as a result of the federal government’s decision not to intervene in the action as to those defendants. The complaint alleged violations of the False Claims Act and set forth allegations substantially similar to those alleged in the state AG cases mentioned in the preceding paragraph and purported to seek nationwide recovery of any and all alleged overpayment of the “federal share” under the Medicaid program, as well as treble damages and civil penalties. In December 2010, the Company completed a settlement of this case (except for the claims related to the California federal share) and the Texas state action mentioned above. This settlement resolved a significant portion of the damages claims asserted against Mylan, MPI and MII in the various pending pricing litigations. In addition, Mylan has reached settlements of the Alabama, Alaska, California (including the “federal share”), Florida, Hawaii, Idaho, Iowa, Kansas, Kentucky, Louisiana, Massachusetts, Mississippi, New York state and county, Oklahoma. South Carolina, and Utah state actions. The Company has also reached an agreement in principle to settle the Missouri action, which is contingent upon the execution of definitive settlement documents. With regard to the remaining state actions, the Company continues to believe that it has meritorious defenses and is vigorously defending itself in those actions. The Company had accrued approximately $115.0 million at December 31, 2011. As a result of settlement payments of approximately $89.5 million and additional accruals of approximately $20.0 million during the year ended December 31, 2012, the Company has a remaining accrual of approximately $50.0 million at December 31, 2012. The Company reviews the status of these actions on an ongoing basis, and from time to time, the Company may settle or otherwise resolve these matters on terms and conditions that management believes are in the best interests of the Company. There are no assurances that settlements reached and/or adverse judgments received, if any, will not exceed amounts that may be provided for. However, the range of reasonably possible loss above the amount provided for cannot be estimated.</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Dey (now known as Mylan Specialty L.P. and “Mylan Specialty”), a wholly owned subsidiary of the Company, was named as a defendant in several class actions brought by consumers and third-party payors. Mylan Specialty has reached a settlement of these class actions, which has been approved by the court and all claims have been dismissed. Additionally, a complaint was filed under seal by a plaintiff on behalf of the United States of America against Dey in August 1997. In August 2006, the Government filed its complaint-in-intervention and the case was unsealed in September 2006. The Government asserted that Dey was jointly liable with a codefendant and sought recovery of alleged overpayments, together with treble damages, civil penalties and equitable relief. Dey completed a settlement of this action in December 2010. These cases all have generally alleged that Dey falsely reported certain price information concerning certain drugs marketed by Dey, that Dey caused false claims to be made to Medicaid and to Medicare, and that Dey caused Medicaid and Medicare to make overpayments on those claims.</w:t>
      </w:r>
    </w:p>
    <w:p>
      <w:pPr>
        <w:spacing w:after="0" w:line="1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Under the terms of the purchase agreement with Merck KGaA, Mylan is fully indemnified for the claims in the preceding paragraph and Merck KGaA is entitled to any income tax benefit the Company realizes for any deductions of amounts paid for such pricing litigation. Under the indemnity, Merck KGaA is responsible for all settlement and legal costs, and, as such, these settlements had no impact on the Company’s Consolidated Statements of Operations. At December 31, 2012, the Company has accrued approximately $66.4 million in other current liabilities, which represents its estimate of the remaining amount of anticipated income tax benefits due to Merck KGaA. Substantially all of Mylan Specialty’s known claims with respect to this pricing litigation have been settled.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Modafinil Antitrust Litigation and FTC Inquiry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Beginning in April 2006, Mylan and four other drug manufacturers have been named as defendants in civil lawsuits filed in or transferred to the U.S. District Court for the Eastern District of Pennsylvania by a variety of plaintiffs purportedly representing direct and indirect purchasers of the drug Modafinil and in a lawsuit filed by Apotex, Inc., a manufacturer of generic drugs, seeking approval to market a generic Modafinil product. These actions allege violations of federal antitrust and state laws in connection with the defendants’ settlement of patent litigation relating to Modafinil. On March 29, 2010, the Court in the Eastern District of Pennsylvania denied the defendants’ motions to dismiss. Fact discovery closed on February 11, 2011. No date has been set for briefing on dispositive motions. Mylan is defending each of these actions vigorously. The case has been suspended in light of petitions for writ of certiorari that were filed before the U.S. Supreme Court in In RE: K-Dur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Antitrust Litigation and FTC v. Watson Pharms Inc., et al. (Androgel Litigation). On December 7, 2012, the Supreme Court granted certiorari in the Androgel Litigation.</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by letter dated July 11, 2006, Mylan was notified by the U.S. Federal Trade Commission (“FTC”) of an investigation relating to the settlement of the Modafinil patent litigation. In its letter, the FTC requested certain information from Mylan, MPI and Mylan Technologies, Inc. pertaining to the patent litigation and the settlement thereof. On March 29, 2007, the FTC issued a subpoena, and on April 26, 2007, the FTC issued a civil investigative demand to Mylan, requesting additional information from the Company relating to the investigation. Mylan has cooperated fully with the government’s investigation and completed all requests for information. On February 13, 2008, the FTC filed a lawsuit against Cephalon in the U.S. District Court for the District of Columbia and the case has subsequently been transferred to the U.S. District Court for the Eastern District of Pennsylvania. On July 1, 2010, the FTC issued a third party subpoena to Mylan, requesting documents in connection with its lawsuit against Cephalon. Mylan has responded to the subpoena. Mylan is not named as a defendant in the FTC’s lawsuit, although the complaint includes certain allegations pertaining to the Mylan/Cephalon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Minocycline Inquiry</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May 1, 2012, the FTC issued a civil investigative demand to Mylan pertaining to an investigation being conducted to determine whether Medicis Pharmaceutical Corporation, Mylan, and/or other generic companies engaged in unfair methods of competition with regard to Medicis’ branded Solodyn products and generic Solodyn products, as well as the 2010 settlement of Medicis’ patent infringement claims against Mylan and Matrix Laboratories Ltd. (now known as Mylan Laboratories Ltd). Mylan is cooperating with the FTC and is in the process of responding to the requests for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EPIPEN® Auto-Injector Advertising Inquiries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During 2012, the Massachusetts Attorney General’s office and the Oregon Department of Justice issued civil investigation demands to Mylan Specialty, regarding the marketing and sale of EPIPEN® and EPIPEN Jr Auto-Injectors in both states, seeking information about an EPIPEN® Auto-Injector television commercial. Mylan is cooperating with both requests and is in the process of responding to the requests for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 Commission Proceedings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or around July 8, 2009, the European Commission (the “EU Commission” or the “Commission”) stated that it had initiated antitrust proceedings pursuant to Article 11(6) of Regulation No. 1/2003 and Article 2(1) of Regulation No. 773/2004 to explore possible infringement of Articles 81 and 82 EC and Articles 53 and 54 of the EEA Agreement by Les Laboratoires Servier (“Servier”) as well as possible infringement of Article 81 EC by the Company’s Indian subsidiary, Mylan Laboratories Limited (formerly known as Matrix Laboratories Limited), and four other companies, each of which entered into agreements with Servier relating to the product Perindopril. On July 30, 2012, the European Commission issued a Statement of Objections to Servier SAS, Servier Laboratories Limited, Les Laboratories Servier, Adir, Biogaran, Krka, d.d. Novo mesto, Lupin Limited, Mylan Laboratories Limited, Mylan Inc., Niche Generics Limited, Teva UK Limited, Teva Pharmaceutical Industries Ltd., Teva Pharmaceuticals Europe B.V., and Unichem Laboratories Limited. Mylan Inc. and Mylan Laboratories Limited have filed responses to the Statement of Objections and are vigorously defending themselves against allegations contained therein.</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October 6, 2009, the Company received notice that the EU Commission was initiating an investigation pursuant to Article 20(4) of Regulation No. 1/2003 to explore possible infringement of Articles 81 and 82 EC by the Company and its affiliates. Mylan S.A.S., acting on behalf of its Mylan affiliates, has produced documents and other information in connection with the inquiry and continues to respond to other requests for additional information. The Company is cooperating with the Commission in connection with the investigation, and no statement of objections has been filed against the Company in connection with the investigation.</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March 19, 2010, Mylan and Generics [U.K.] Ltd., a wholly owned subsidiary of the Company, received notice that the EU Commission had opened proceedings against Lundbeck with respect to alleged unilateral practices and/or agreements related to Citalopram in the European Economic Area. A Statement of Objections was issued to Lundbeck, Merck KGaA, Generics [U.K.] Limited, Arrow, Resolution Chemicals, Xelia Pharmaceuticals, Alpharma, A.L. Industrier and Ranbaxy on July 25, 2012. Generics [U.K.] Limited has filed a response to the Statement of Objections and is vigorously defending itself against allegations contained therein.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Office of Fair Trading</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August 12, 2011, Generics [U.K.] Ltd. received notice that the Office of Fair Trading was opening an investigation to explore the possible infringement of the Competition Act 1998 and Article 101 and 102 on the Functioning of the European Union, with respect to alleged agreements related to Paroxetine. Generics [U.K.] Ltd. has produced documents and information and continues to respond to additional requests for information in connection with this inquiry and is continuing to cooperate with the investigation. No statement of objections has been filed in connection with this investigation.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The Company is involved in a number of product liability lawsuits and claims related to alleged personal injuries arising out of certain products manufactured and/or distributed by the Company, including but not limited to its fentanyl transdermal system, phenytoin, propoxyphene, alendronate and Amnesteem</w:t>
      </w:r>
      <w:r>
        <w:rPr>
          <w:rFonts w:ascii="Arial" w:cs="Arial" w:eastAsia="Arial" w:hAnsi="Arial"/>
          <w:sz w:val="25"/>
          <w:szCs w:val="25"/>
          <w:color w:val="auto"/>
          <w:vertAlign w:val="superscript"/>
        </w:rPr>
        <w:t>®</w:t>
      </w:r>
      <w:r>
        <w:rPr>
          <w:rFonts w:ascii="Arial" w:cs="Arial" w:eastAsia="Arial" w:hAnsi="Arial"/>
          <w:sz w:val="18"/>
          <w:szCs w:val="18"/>
          <w:color w:val="auto"/>
        </w:rPr>
        <w:t>. The Company believes that it has meritorious defenses to these lawsuits and claims and is vigorously defending itself with respect to those matters. From time to time, the Company has agreed to settle or otherwise resolve certain lawsuits and claims on terms and conditions that are in the best interests of the Company. The Company had accrued approximately $41.5 million at December 31, 2011. During the year ended December 31, 2012 the Company accrued approximately $6.9 million and paid approximately $26.8 million. The Company has an accrual of approximately $21.6 million at December 31, 2012.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assurances that settlements reached and/or adverse judgments received, if any, will not exceed amounts that may be provided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 range of reasonably possible loss above the amount provided for cannot be estimated.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April 16, 2012, the Federal Circuit reversed and vacated a judgment of invalidity by the United States District Court for the District of Delaware in a patent infringement lawsuit by Eurand, Inc. (now known as Aptalis Pharmatech, Inc.), Cephalon, Inc., and Anesta AG against Mylan Inc. and MPI in relation to MPI’s abbreviated new drug application for extended-release cyclobenzaprine hydrochloride. On May 12, 2011, the District Court found, after trial, the patents-in-suit invalid as obvious. On May 13, 2011, MPI launched its cyclobenzaprine hydrochloride extended-release capsules. Plaintiffs appealed the District Court’s finding of obviousness to the Federal Circuit, and on May 24, 2011, the District Court issued an injunction order enjoining Mylan from selling any additional cyclobenzaprine products pending the Federal Circuit’s decision. Plaintiffs were required to post a $10.0 million bond. Mylan appealed the District Court’s injunction and filed a motion to stay the injunction pending resolution of the appeal. On May 25, 2011, the Federal Circuit temporarily stayed the injunction pending full briefing on Mylan’s motion to stay. On July 7, 2011, the Federal Circuit reinstated the injunction preventing further sales pending a decision on the appeal. On April 16, 2012, the Federal Circuit reversed and vacated the District Court’s invalidity judgment and dismissed without prejudice Mylan’s appeal of the injunction. The injunction will remain in place for 45 days post-mandate, or until further order of the District Court, whichever occurs sooner. The Company filed a petition for rehearing en banc and on July 25, 2012, the petition was denied. The Company filed a petition for certiorari to the United States Supreme Court on October 23, 2012 and on January 14, 2013, the petition was denied. The case will now be remanded to the District Court for further proceedings.</w:t>
      </w:r>
    </w:p>
    <w:p>
      <w:pPr>
        <w:spacing w:after="0" w:line="18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these and other situations, the Company has used its business judgment to decide to market and sell products, notwithstanding the fact that allegations of patent infringement(s) or other potential third party rights have not been finally resolved by the courts (i.e., an “at-risk launch” situation). The risk involved in doing so can be substantial because the remedies available to the owner of a patent for infringement may include, among other things, damages measured by the profits lost by the patent owner and not necessarily by the profits earned by the infringer. In the case of willful infringement, the definition of which is subjective, such damages may be increased up to three times. Moreover, because of the discount pricing typically involved with bioequivalent products, patented branded products generally realize a substantially higher profit margin than bioequivalent products. An adverse decision in cases involving an “at-risk launch” could have a material adverse effect on our financial position, including our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is involved in various other legal proceedings that are considered normal to its business, including but not limited to certain proceedings assumed as a result of the acquisition of the former Merck Generics business. While it is not possible to predict the ultimate outcome of such other proceedings, the ultimate outcome of any such proceeding is not currently expected to be material to the Company’s financial position, results of operations or cash flows.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125" w:right="31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Plan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February 27, 2013, the Board of Directors of the Company approved the repurchase of up to $500 million of the Company’s common stock either in the open market or through privately negotiated transactions. The repurchase program is expected to be completed during 2013, and does not obligate the Company to acquire any particular amount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Agila Specialties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February 27, 2013, the Company announced that it has signed a definitive agreement to acquire Agila Specialties Private Limited, a developer, manufacturer and marketer of high-quality generic injectable products, from Strides Arcolab Limited for approximately $1.6 billion in cash plus contingent payments of up to $250 million subject to certain conditions. The transaction will be funded through $1 billion in committed financing and the use of cash on hand and borrowings from the Company's revolving credit facility. As a result of the acquisition, the Company will significantly expand and strengthen its injectable product portfolio and gain entry into new geographic markets, such as Brazil. The transaction is expected to close in the fourth quarter of 2013 and is subject to certain closing conditions and regulatory approvals.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Financial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2012</w:t>
      </w:r>
      <w:r>
        <w:rPr>
          <w:rFonts w:ascii="Arial" w:cs="Arial" w:eastAsia="Arial" w:hAnsi="Arial"/>
          <w:sz w:val="25"/>
          <w:szCs w:val="25"/>
          <w:b w:val="1"/>
          <w:bCs w:val="1"/>
          <w:color w:val="auto"/>
          <w:vertAlign w:val="superscript"/>
        </w:rPr>
        <w:t>(1)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Three-Month Period Ended</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2012</w:t>
            </w:r>
          </w:p>
        </w:tc>
        <w:tc>
          <w:tcPr>
            <w:tcW w:w="240" w:type="dxa"/>
            <w:vAlign w:val="bottom"/>
          </w:tcPr>
          <w:p>
            <w:pPr>
              <w:spacing w:after="0"/>
              <w:rPr>
                <w:sz w:val="22"/>
                <w:szCs w:val="22"/>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June 30, 2012</w:t>
            </w:r>
            <w:r>
              <w:rPr>
                <w:rFonts w:ascii="Arial" w:cs="Arial" w:eastAsia="Arial" w:hAnsi="Arial"/>
                <w:sz w:val="8"/>
                <w:szCs w:val="8"/>
                <w:b w:val="1"/>
                <w:bCs w:val="1"/>
                <w:color w:val="auto"/>
                <w:w w:val="93"/>
              </w:rPr>
              <w:t>(2)</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22"/>
                <w:szCs w:val="22"/>
                <w:color w:val="auto"/>
              </w:rPr>
            </w:pPr>
          </w:p>
        </w:tc>
        <w:tc>
          <w:tcPr>
            <w:tcW w:w="154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December 31, 2012</w:t>
            </w:r>
          </w:p>
        </w:tc>
      </w:tr>
      <w:tr>
        <w:trPr>
          <w:trHeight w:val="250"/>
        </w:trPr>
        <w:tc>
          <w:tcPr>
            <w:tcW w:w="4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1,687,814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1,801,786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1,722,854</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670,229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702,637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793,122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742,316</w:t>
            </w:r>
          </w:p>
        </w:tc>
      </w:tr>
      <w:tr>
        <w:trPr>
          <w:trHeight w:val="27"/>
        </w:trPr>
        <w:tc>
          <w:tcPr>
            <w:tcW w:w="2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162,160</w:t>
            </w:r>
          </w:p>
        </w:tc>
      </w:tr>
      <w:tr>
        <w:trPr>
          <w:trHeight w:val="229"/>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Net earnings attributable to Mylan Inc. common</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shareholders</w:t>
            </w:r>
          </w:p>
        </w:tc>
        <w:tc>
          <w:tcPr>
            <w:tcW w:w="22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129,079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138,550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211,257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161,964</w:t>
            </w:r>
          </w:p>
        </w:tc>
      </w:tr>
      <w:tr>
        <w:trPr>
          <w:trHeight w:val="27"/>
        </w:trPr>
        <w:tc>
          <w:tcPr>
            <w:tcW w:w="2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Earnings per share</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2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r>
      <w:tr>
        <w:trPr>
          <w:trHeight w:val="270"/>
        </w:trPr>
        <w:tc>
          <w:tcPr>
            <w:tcW w:w="4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Share prices</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28.30</w:t>
            </w: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23.44</w:t>
            </w:r>
          </w:p>
        </w:tc>
      </w:tr>
      <w:tr>
        <w:trPr>
          <w:trHeight w:val="41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2011</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41"/>
        </w:trPr>
        <w:tc>
          <w:tcPr>
            <w:tcW w:w="24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Three-Month Period Ended</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64"/>
        </w:trPr>
        <w:tc>
          <w:tcPr>
            <w:tcW w:w="2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2011</w:t>
            </w:r>
            <w:r>
              <w:rPr>
                <w:rFonts w:ascii="Arial" w:cs="Arial" w:eastAsia="Arial" w:hAnsi="Arial"/>
                <w:sz w:val="8"/>
                <w:szCs w:val="8"/>
                <w:b w:val="1"/>
                <w:bCs w:val="1"/>
                <w:color w:val="auto"/>
                <w:w w:val="96"/>
              </w:rPr>
              <w:t>(5)</w:t>
            </w:r>
          </w:p>
        </w:tc>
        <w:tc>
          <w:tcPr>
            <w:tcW w:w="240" w:type="dxa"/>
            <w:vAlign w:val="bottom"/>
          </w:tcPr>
          <w:p>
            <w:pPr>
              <w:spacing w:after="0"/>
              <w:rPr>
                <w:sz w:val="22"/>
                <w:szCs w:val="22"/>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2011</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2011</w:t>
            </w:r>
          </w:p>
        </w:tc>
        <w:tc>
          <w:tcPr>
            <w:tcW w:w="160" w:type="dxa"/>
            <w:vAlign w:val="bottom"/>
          </w:tcPr>
          <w:p>
            <w:pPr>
              <w:spacing w:after="0"/>
              <w:rPr>
                <w:sz w:val="22"/>
                <w:szCs w:val="22"/>
                <w:color w:val="auto"/>
              </w:rPr>
            </w:pPr>
          </w:p>
        </w:tc>
        <w:tc>
          <w:tcPr>
            <w:tcW w:w="15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2011</w:t>
            </w:r>
            <w:r>
              <w:rPr>
                <w:rFonts w:ascii="Arial" w:cs="Arial" w:eastAsia="Arial" w:hAnsi="Arial"/>
                <w:sz w:val="8"/>
                <w:szCs w:val="8"/>
                <w:b w:val="1"/>
                <w:bCs w:val="1"/>
                <w:color w:val="auto"/>
                <w:w w:val="95"/>
              </w:rPr>
              <w:t>(5)</w:t>
            </w:r>
          </w:p>
        </w:tc>
      </w:tr>
      <w:tr>
        <w:trPr>
          <w:trHeight w:val="250"/>
        </w:trPr>
        <w:tc>
          <w:tcPr>
            <w:tcW w:w="42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1,448,958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1,573,877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1,575,756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1,531,234</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590,946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669,429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658,391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644,598</w:t>
            </w:r>
          </w:p>
        </w:tc>
      </w:tr>
      <w:tr>
        <w:trPr>
          <w:trHeight w:val="27"/>
        </w:trPr>
        <w:tc>
          <w:tcPr>
            <w:tcW w:w="2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129,894</w:t>
            </w:r>
          </w:p>
        </w:tc>
      </w:tr>
      <w:tr>
        <w:trPr>
          <w:trHeight w:val="229"/>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Net earnings attributable to Mylan Inc. common</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shareholders</w:t>
            </w:r>
          </w:p>
        </w:tc>
        <w:tc>
          <w:tcPr>
            <w:tcW w:w="22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104,175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146,446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156,698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129,491</w:t>
            </w:r>
          </w:p>
        </w:tc>
      </w:tr>
      <w:tr>
        <w:trPr>
          <w:trHeight w:val="27"/>
        </w:trPr>
        <w:tc>
          <w:tcPr>
            <w:tcW w:w="2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Earnings per share</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0.30</w:t>
            </w:r>
          </w:p>
        </w:tc>
      </w:tr>
      <w:tr>
        <w:trPr>
          <w:trHeight w:val="27"/>
        </w:trPr>
        <w:tc>
          <w:tcPr>
            <w:tcW w:w="2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r>
      <w:tr>
        <w:trPr>
          <w:trHeight w:val="270"/>
        </w:trPr>
        <w:tc>
          <w:tcPr>
            <w:tcW w:w="4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Share prices</w:t>
            </w:r>
            <w:r>
              <w:rPr>
                <w:rFonts w:ascii="Arial" w:cs="Arial" w:eastAsia="Arial" w:hAnsi="Arial"/>
                <w:sz w:val="25"/>
                <w:szCs w:val="25"/>
                <w:color w:val="auto"/>
                <w:vertAlign w:val="superscript"/>
              </w:rPr>
              <w:t>(4)</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w:t>
            </w: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21.14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16.16</w:t>
            </w:r>
          </w:p>
        </w:tc>
      </w:tr>
    </w:tbl>
    <w:p>
      <w:pPr>
        <w:spacing w:after="0" w:line="229" w:lineRule="exact"/>
        <w:rPr>
          <w:sz w:val="20"/>
          <w:szCs w:val="20"/>
          <w:color w:val="auto"/>
        </w:rPr>
      </w:pPr>
    </w:p>
    <w:p>
      <w:pPr>
        <w:ind w:left="660" w:right="120" w:hanging="652"/>
        <w:spacing w:after="0" w:line="232"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Certain insignificant amounts of revenue and gross profit previously included in the quarterly financial results for the first through third quarters of 2012 have been reclassified to other income (expense), net, as losses from an equity method affiliate. Accordingly, the unaudited quarterly financial data for the first through third quarters of 2012 has been revised with no impact on previously reported net earnings attributable to Mylan Inc. common shareholders. The revision had no impact on the 2011 Quarterly Financial Data.</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The results for the three months ended June 30, 2012 include $12.2 million of net earnings from litigation settlements.</w:t>
      </w:r>
    </w:p>
    <w:p>
      <w:pPr>
        <w:spacing w:after="0" w:line="98" w:lineRule="exact"/>
        <w:rPr>
          <w:rFonts w:ascii="Arial" w:cs="Arial" w:eastAsia="Arial" w:hAnsi="Arial"/>
          <w:sz w:val="25"/>
          <w:szCs w:val="25"/>
          <w:color w:val="auto"/>
          <w:vertAlign w:val="superscript"/>
        </w:rPr>
      </w:pPr>
    </w:p>
    <w:p>
      <w:pPr>
        <w:ind w:left="660" w:right="160" w:hanging="652"/>
        <w:spacing w:after="0" w:line="214"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The sum of earnings per share for the quarters may not equal earnings per share for the total year due to changes in the average number of common shares outstanding.</w:t>
      </w:r>
    </w:p>
    <w:p>
      <w:pPr>
        <w:spacing w:after="0" w:line="3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Closing prices are as reported on the NASDAQ Stock Market.</w:t>
      </w:r>
    </w:p>
    <w:p>
      <w:pPr>
        <w:spacing w:after="0" w:line="98" w:lineRule="exact"/>
        <w:rPr>
          <w:rFonts w:ascii="Arial" w:cs="Arial" w:eastAsia="Arial" w:hAnsi="Arial"/>
          <w:sz w:val="25"/>
          <w:szCs w:val="25"/>
          <w:color w:val="auto"/>
          <w:vertAlign w:val="superscript"/>
        </w:rPr>
      </w:pPr>
    </w:p>
    <w:p>
      <w:pPr>
        <w:ind w:left="660" w:right="100" w:hanging="652"/>
        <w:spacing w:after="0" w:line="214"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The results for the three months ended March 31, 2011 and December 31, 2011 include $24.0 million and $20.1 million, respectively, of net charges related to litigation.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2012.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Management has not identified any changes in the Company’s internal control over financial reporting that occurred during the fourth quarter of 2012 that have materially affected, or are reasonably likely to materially affect, the Company’s internal control over financial reporting.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Management’s Report on Internal Control over Financial Reporting is on page 67. The effectiveness of the Company’s internal control over financial reporting as of December 31, 2012 has been audited by Deloitte &amp; Touche LLP, an independent registered public accounting firm, as stated in their report on page 69.</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Certain information required by this item will be set forth under the captions “Item I — Election of Directors,” “Executive Officers” and “Security Ownership of Certain Beneficial Owners and Management — Section 16(a) Beneficial Ownership Reporting Compliance” in our 2013 Proxy Statement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has adopted a Code of Ethics that applies to our Principal Executive Officer, Principal Financial Officer and Corporate Controller. This Code of Ethics is posted on the Company’s Internet website at investor.mylan.com. The Company intends to post any amendments to or waivers from the Code of Ethics on that website.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Item 11 will be set forth under the caption “Executive Compensation” in our 2013 Proxy Statement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Additional information required by Item 12 will be set forth under the captions “Security Ownership of Certain Beneficial Owners and Management” in our 2013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about the securities authorized for issuance under Mylan’s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 be</w:t>
            </w:r>
          </w:p>
        </w:tc>
        <w:tc>
          <w:tcPr>
            <w:tcW w:w="220" w:type="dxa"/>
            <w:vAlign w:val="bottom"/>
          </w:tcPr>
          <w:p>
            <w:pPr>
              <w:spacing w:after="0"/>
              <w:rPr>
                <w:sz w:val="12"/>
                <w:szCs w:val="12"/>
                <w:color w:val="auto"/>
              </w:rPr>
            </w:pPr>
          </w:p>
        </w:tc>
        <w:tc>
          <w:tcPr>
            <w:tcW w:w="2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Weighted-Average Exercise</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2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20" w:type="dxa"/>
            <w:vAlign w:val="bottom"/>
          </w:tcPr>
          <w:p>
            <w:pPr>
              <w:spacing w:after="0"/>
              <w:rPr>
                <w:sz w:val="12"/>
                <w:szCs w:val="12"/>
                <w:color w:val="auto"/>
              </w:rPr>
            </w:pPr>
          </w:p>
        </w:tc>
        <w:tc>
          <w:tcPr>
            <w:tcW w:w="2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3080" w:type="dxa"/>
            <w:vAlign w:val="bottom"/>
          </w:tcPr>
          <w:p>
            <w:pPr>
              <w:spacing w:after="0"/>
              <w:rPr>
                <w:sz w:val="11"/>
                <w:szCs w:val="11"/>
                <w:color w:val="auto"/>
              </w:rPr>
            </w:pPr>
          </w:p>
        </w:tc>
        <w:tc>
          <w:tcPr>
            <w:tcW w:w="24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4"/>
              </w:rPr>
              <w:t>Warrants and Rights</w:t>
            </w:r>
          </w:p>
        </w:tc>
        <w:tc>
          <w:tcPr>
            <w:tcW w:w="220" w:type="dxa"/>
            <w:vAlign w:val="bottom"/>
          </w:tcPr>
          <w:p>
            <w:pPr>
              <w:spacing w:after="0"/>
              <w:rPr>
                <w:sz w:val="11"/>
                <w:szCs w:val="11"/>
                <w:color w:val="auto"/>
              </w:rPr>
            </w:pPr>
          </w:p>
        </w:tc>
        <w:tc>
          <w:tcPr>
            <w:tcW w:w="228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1"/>
              </w:rPr>
              <w:t>Rights</w:t>
            </w:r>
          </w:p>
        </w:tc>
        <w:tc>
          <w:tcPr>
            <w:tcW w:w="2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19,114,933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22,621,400</w:t>
            </w:r>
          </w:p>
        </w:tc>
        <w:tc>
          <w:tcPr>
            <w:tcW w:w="0" w:type="dxa"/>
            <w:vAlign w:val="bottom"/>
          </w:tcPr>
          <w:p>
            <w:pPr>
              <w:spacing w:after="0"/>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4"/>
              </w:rPr>
              <w:t>Equity compensation plans not approved by security</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holders</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19,114,933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22,621,400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information required by Item 13 will be set forth under the caption “Certain Relationships and Related Transactions” in our 2013 Proxy Statement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information required by Item 14 will be set forth under the captions “Independent Registered Public Accounting Firm’s Fees” and “Audit Committee Pre-Approval Policy” in our 2013 Proxy Statement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Consolidated Financial Statement Schedules</w:t>
      </w:r>
    </w:p>
    <w:p>
      <w:pPr>
        <w:spacing w:after="0" w:line="310"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listed in the Index to Consolidated Financial Statements are filed as part of this Form.</w:t>
      </w:r>
    </w:p>
    <w:p>
      <w:pPr>
        <w:spacing w:after="0" w:line="22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 Schedules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Charged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Accounts</w:t>
            </w: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18,925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7,921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23,037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Year ended December 31, 2011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22,507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231,436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23,996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249,382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Year ended December 31, 2011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166,083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66,064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232,147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0340" w:type="dxa"/>
            <w:vAlign w:val="bottom"/>
          </w:tcPr>
          <w:p>
            <w:pPr>
              <w:ind w:left="580"/>
              <w:spacing w:after="0"/>
              <w:rPr>
                <w:sz w:val="20"/>
                <w:szCs w:val="20"/>
                <w:color w:val="auto"/>
              </w:rPr>
            </w:pPr>
            <w:r>
              <w:rPr>
                <w:rFonts w:ascii="Arial" w:cs="Arial" w:eastAsia="Arial" w:hAnsi="Arial"/>
                <w:sz w:val="18"/>
                <w:szCs w:val="18"/>
                <w:color w:val="auto"/>
                <w:w w:val="91"/>
              </w:rPr>
              <w:t>Amended and Restated Articles of Incorporation of the registrant, as amended to date, filed as Exhibit 3.1 to the Report on Form 10-Q</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for the quarter ended June 30, 2009, and incorporated herein by reference.</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340" w:type="dxa"/>
            <w:vAlign w:val="bottom"/>
          </w:tcPr>
          <w:p>
            <w:pPr>
              <w:ind w:left="580"/>
              <w:spacing w:after="0"/>
              <w:rPr>
                <w:sz w:val="20"/>
                <w:szCs w:val="20"/>
                <w:color w:val="auto"/>
              </w:rPr>
            </w:pPr>
            <w:r>
              <w:rPr>
                <w:rFonts w:ascii="Arial" w:cs="Arial" w:eastAsia="Arial" w:hAnsi="Arial"/>
                <w:sz w:val="18"/>
                <w:szCs w:val="18"/>
                <w:color w:val="auto"/>
                <w:w w:val="90"/>
              </w:rPr>
              <w:t>Bylaws of the registrant, as amended to date, filed as Exhibit 3.2 to the Report on Form 10-Q for the quarter ended June 30, 2009, and</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incorporated herein by reference.</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4.1(a)</w:t>
            </w:r>
          </w:p>
        </w:tc>
        <w:tc>
          <w:tcPr>
            <w:tcW w:w="10340" w:type="dxa"/>
            <w:vAlign w:val="bottom"/>
          </w:tcPr>
          <w:p>
            <w:pPr>
              <w:ind w:left="580"/>
              <w:spacing w:after="0"/>
              <w:rPr>
                <w:sz w:val="20"/>
                <w:szCs w:val="20"/>
                <w:color w:val="auto"/>
              </w:rPr>
            </w:pPr>
            <w:r>
              <w:rPr>
                <w:rFonts w:ascii="Arial" w:cs="Arial" w:eastAsia="Arial" w:hAnsi="Arial"/>
                <w:sz w:val="18"/>
                <w:szCs w:val="18"/>
                <w:color w:val="auto"/>
                <w:w w:val="96"/>
              </w:rPr>
              <w:t>Rights Agreement dated as of August 22, 1996, between the registrant and American Stock Transfer &amp; Trust Company, filed as</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Exhibit 4.1 to the Report on Form 8-K filed with the SEC on September 3, 1996, and incorporated herein by reference.</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4.1(b)</w:t>
            </w:r>
          </w:p>
        </w:tc>
        <w:tc>
          <w:tcPr>
            <w:tcW w:w="10340" w:type="dxa"/>
            <w:vAlign w:val="bottom"/>
          </w:tcPr>
          <w:p>
            <w:pPr>
              <w:ind w:left="580"/>
              <w:spacing w:after="0"/>
              <w:rPr>
                <w:sz w:val="20"/>
                <w:szCs w:val="20"/>
                <w:color w:val="auto"/>
              </w:rPr>
            </w:pPr>
            <w:r>
              <w:rPr>
                <w:rFonts w:ascii="Arial" w:cs="Arial" w:eastAsia="Arial" w:hAnsi="Arial"/>
                <w:sz w:val="18"/>
                <w:szCs w:val="18"/>
                <w:color w:val="auto"/>
              </w:rPr>
              <w:t>Amendment to Rights Agreement dated as of November 8, 1999, between the registrant and American Stock Transfer &amp;</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w w:val="98"/>
              </w:rPr>
              <w:t>Trust Company, filed as Exhibit 1 to Form 8-A/A filed with the SEC on March 31, 2000, and incorporated herein by reference.</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4.1(c)</w:t>
            </w:r>
          </w:p>
        </w:tc>
        <w:tc>
          <w:tcPr>
            <w:tcW w:w="10340" w:type="dxa"/>
            <w:vAlign w:val="bottom"/>
          </w:tcPr>
          <w:p>
            <w:pPr>
              <w:ind w:left="580"/>
              <w:spacing w:after="0"/>
              <w:rPr>
                <w:sz w:val="20"/>
                <w:szCs w:val="20"/>
                <w:color w:val="auto"/>
              </w:rPr>
            </w:pPr>
            <w:r>
              <w:rPr>
                <w:rFonts w:ascii="Arial" w:cs="Arial" w:eastAsia="Arial" w:hAnsi="Arial"/>
                <w:sz w:val="18"/>
                <w:szCs w:val="18"/>
                <w:color w:val="auto"/>
                <w:w w:val="98"/>
              </w:rPr>
              <w:t>Amendment No. 2 to Rights Agreement dated as of August 13, 2004,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w w:val="94"/>
              </w:rPr>
              <w:t>Trust Company, filed as Exhibit 4.1 to the Report on Form 8-K filed with the SEC on August 16, 2004, and incorporated herein by</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reference.</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4.1(d)</w:t>
            </w:r>
          </w:p>
        </w:tc>
        <w:tc>
          <w:tcPr>
            <w:tcW w:w="10340" w:type="dxa"/>
            <w:vAlign w:val="bottom"/>
          </w:tcPr>
          <w:p>
            <w:pPr>
              <w:ind w:left="580"/>
              <w:spacing w:after="0"/>
              <w:rPr>
                <w:sz w:val="20"/>
                <w:szCs w:val="20"/>
                <w:color w:val="auto"/>
              </w:rPr>
            </w:pPr>
            <w:r>
              <w:rPr>
                <w:rFonts w:ascii="Arial" w:cs="Arial" w:eastAsia="Arial" w:hAnsi="Arial"/>
                <w:sz w:val="18"/>
                <w:szCs w:val="18"/>
                <w:color w:val="auto"/>
                <w:w w:val="96"/>
              </w:rPr>
              <w:t>Amendment No. 3 to Rights Agreement dated as of September 8, 2004,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w w:val="92"/>
              </w:rPr>
              <w:t>Trust Company, filed as Exhibit 4.1 to the Report on Form 8-K filed with the SEC on September 9, 2004, and incorporated herein by</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reference.</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4.1(e)</w:t>
            </w:r>
          </w:p>
        </w:tc>
        <w:tc>
          <w:tcPr>
            <w:tcW w:w="10340" w:type="dxa"/>
            <w:vAlign w:val="bottom"/>
          </w:tcPr>
          <w:p>
            <w:pPr>
              <w:ind w:left="580"/>
              <w:spacing w:after="0"/>
              <w:rPr>
                <w:sz w:val="20"/>
                <w:szCs w:val="20"/>
                <w:color w:val="auto"/>
              </w:rPr>
            </w:pPr>
            <w:r>
              <w:rPr>
                <w:rFonts w:ascii="Arial" w:cs="Arial" w:eastAsia="Arial" w:hAnsi="Arial"/>
                <w:sz w:val="18"/>
                <w:szCs w:val="18"/>
                <w:color w:val="auto"/>
                <w:w w:val="96"/>
              </w:rPr>
              <w:t>Amendment No. 4 to Rights Agreement dated as of December 2, 2004,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w w:val="93"/>
              </w:rPr>
              <w:t>Trust Company, filed as Exhibit 4.1 to the Report on Form 8-K filed with the SEC on December 3, 2004, and incorporated herein by</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reference.</w:t>
            </w:r>
          </w:p>
        </w:tc>
      </w:tr>
      <w:tr>
        <w:trPr>
          <w:trHeight w:val="377"/>
        </w:trPr>
        <w:tc>
          <w:tcPr>
            <w:tcW w:w="1020" w:type="dxa"/>
            <w:vAlign w:val="bottom"/>
          </w:tcPr>
          <w:p>
            <w:pPr>
              <w:spacing w:after="0"/>
              <w:rPr>
                <w:sz w:val="20"/>
                <w:szCs w:val="20"/>
                <w:color w:val="auto"/>
              </w:rPr>
            </w:pPr>
            <w:r>
              <w:rPr>
                <w:rFonts w:ascii="Arial" w:cs="Arial" w:eastAsia="Arial" w:hAnsi="Arial"/>
                <w:sz w:val="18"/>
                <w:szCs w:val="18"/>
                <w:color w:val="auto"/>
              </w:rPr>
              <w:t>4.1(f)</w:t>
            </w:r>
          </w:p>
        </w:tc>
        <w:tc>
          <w:tcPr>
            <w:tcW w:w="10340" w:type="dxa"/>
            <w:vAlign w:val="bottom"/>
          </w:tcPr>
          <w:p>
            <w:pPr>
              <w:ind w:left="580"/>
              <w:spacing w:after="0"/>
              <w:rPr>
                <w:sz w:val="20"/>
                <w:szCs w:val="20"/>
                <w:color w:val="auto"/>
              </w:rPr>
            </w:pPr>
            <w:r>
              <w:rPr>
                <w:rFonts w:ascii="Arial" w:cs="Arial" w:eastAsia="Arial" w:hAnsi="Arial"/>
                <w:sz w:val="18"/>
                <w:szCs w:val="18"/>
                <w:color w:val="auto"/>
                <w:w w:val="96"/>
              </w:rPr>
              <w:t>Amendment No. 5 to Rights Agreement dated as of December 19, 2005,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w w:val="92"/>
              </w:rPr>
              <w:t>Trust Company, filed as Exhibit 4.1 to the Report on Form 8-K filed with the SEC on December 19, 2005, and incorporated herein by</w:t>
            </w:r>
          </w:p>
        </w:tc>
      </w:tr>
      <w:tr>
        <w:trPr>
          <w:trHeight w:val="230"/>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20"/>
          </w:cols>
          <w:pgMar w:left="240" w:top="125" w:right="2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94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4.2(a)</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Indenture, dated as of July 21, 2005, between the registrant and The Bank of New York, as trustee, filed as Exhibit 4.1 to the Report on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Form 8-K filed with the SEC on July 27, 2005,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Second Supplemental Indenture, dated as of October 1, 2007, among the registrant, the Subsidiaries of the registrant listed on the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signature page thereto and The Bank of New York, as trustee, filed as Exhibit 4.1 to the Report on Form 8-K filed with the SEC on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October 5, 2007,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6"/>
              </w:rPr>
              <w:t>Registration Rights Agreement, dated as of July 21, 2005, among the registrant, the Guarantors party thereto and Merrill Lynch,</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5"/>
              </w:rPr>
              <w:t>Pierce, Fenner &amp; Smith Incorporated, BNY Capital Markets, Inc., KeyBanc Capital Markets (a Division of McDonald Investments</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Inc.), PNC Capital Markets, Inc. and SunTrust Capital Markets, Inc., filed as Exhibit 4.2 to the Report on Form 8-K filed with the SEC</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on July 27, 2005,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4.4(a)</w:t>
            </w: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Indenture, dated as of September 15, 2008, among the registrant, the guarantors named therein and Bank of New York Mellon as</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8"/>
              </w:rPr>
              <w:t>trustee, filed as Exhibit 4.1 to the Report on Form 8-K filed with the SEC on September 15, 2008,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4.4(b)</w:t>
            </w:r>
          </w:p>
        </w:tc>
        <w:tc>
          <w:tcPr>
            <w:tcW w:w="9940" w:type="dxa"/>
            <w:vAlign w:val="bottom"/>
          </w:tcPr>
          <w:p>
            <w:pPr>
              <w:ind w:left="180"/>
              <w:spacing w:after="0"/>
              <w:rPr>
                <w:sz w:val="20"/>
                <w:szCs w:val="20"/>
                <w:color w:val="auto"/>
              </w:rPr>
            </w:pPr>
            <w:r>
              <w:rPr>
                <w:rFonts w:ascii="Arial" w:cs="Arial" w:eastAsia="Arial" w:hAnsi="Arial"/>
                <w:sz w:val="18"/>
                <w:szCs w:val="18"/>
                <w:color w:val="auto"/>
                <w:w w:val="89"/>
              </w:rPr>
              <w:t>First Supplemental Indenture, dated November 29, 2011, by and among the registrant, Somerset Pharmaceuticals, Inc. and The Bank of</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New York Mellon, as trustee, to the Indenture, dated September 15, 2008, among the registrant, the Guarantors thereto and The Bank</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of New York Mellon, as trustee, filed as Exhibit 4.3 to Form 8-K filed with the SEC on November 30, 2011, and incorporated herein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4.5(a)</w:t>
            </w: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Indenture, dated as of May 19, 2010, among the registrant, the guarantors named therein and The Bank of New York Mellon as trustee,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filed as Exhibit 4.1 to the Report on Form 8-K filed with the SEC on May 19, 2010,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4.5(b)</w:t>
            </w:r>
          </w:p>
        </w:tc>
        <w:tc>
          <w:tcPr>
            <w:tcW w:w="9940" w:type="dxa"/>
            <w:vAlign w:val="bottom"/>
          </w:tcPr>
          <w:p>
            <w:pPr>
              <w:ind w:left="180"/>
              <w:spacing w:after="0"/>
              <w:rPr>
                <w:sz w:val="20"/>
                <w:szCs w:val="20"/>
                <w:color w:val="auto"/>
              </w:rPr>
            </w:pPr>
            <w:r>
              <w:rPr>
                <w:rFonts w:ascii="Arial" w:cs="Arial" w:eastAsia="Arial" w:hAnsi="Arial"/>
                <w:sz w:val="18"/>
                <w:szCs w:val="18"/>
                <w:color w:val="auto"/>
                <w:w w:val="89"/>
              </w:rPr>
              <w:t>First Supplemental Indenture, dated November 29, 2011, by and among the registrant, Somerset Pharmaceuticals, Inc. and The Bank of</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New York Mellon, as trustee, to the Indenture, dated May 19, 2010, among the registrant, the Guarantors thereto and The Bank of New</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7"/>
              </w:rPr>
              <w:t>York Mellon, as trustee, filed as Exhibit 4.2 to Form 8-K filed with the SEC on November 30, 2011,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4.6(a)</w:t>
            </w: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Indenture, dated as of November 24, 2010, among the registrant, the guarantors named therein and The Bank of New York Mellon as</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8"/>
              </w:rPr>
              <w:t>trustee, filed as Exhibit 4.1 to the Report on Form 8-K filed with the SEC on November 24, 2010,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4.6(b)</w:t>
            </w:r>
          </w:p>
        </w:tc>
        <w:tc>
          <w:tcPr>
            <w:tcW w:w="9940" w:type="dxa"/>
            <w:vAlign w:val="bottom"/>
          </w:tcPr>
          <w:p>
            <w:pPr>
              <w:ind w:left="180"/>
              <w:spacing w:after="0"/>
              <w:rPr>
                <w:sz w:val="20"/>
                <w:szCs w:val="20"/>
                <w:color w:val="auto"/>
              </w:rPr>
            </w:pPr>
            <w:r>
              <w:rPr>
                <w:rFonts w:ascii="Arial" w:cs="Arial" w:eastAsia="Arial" w:hAnsi="Arial"/>
                <w:sz w:val="18"/>
                <w:szCs w:val="18"/>
                <w:color w:val="auto"/>
                <w:w w:val="89"/>
              </w:rPr>
              <w:t>First Supplemental Indenture, dated November 29, 2011, by and among the registrant, Somerset Pharmaceuticals, Inc. and The Bank of</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New York Mellon, as trustee, to the Indenture, dated November 24, 2010, among the registrant, the Guarantors thereto and The Bank</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of New York Mellon, as trustee, filed as Exhibit 4.1 to Form 8-K filed with the SEC on November 30, 2011, and incorporated herein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by reference.</w:t>
            </w:r>
          </w:p>
        </w:tc>
      </w:tr>
    </w:tbl>
    <w:p>
      <w:pPr>
        <w:spacing w:after="0" w:line="161" w:lineRule="exact"/>
        <w:rPr>
          <w:sz w:val="20"/>
          <w:szCs w:val="20"/>
          <w:color w:val="auto"/>
        </w:rPr>
      </w:pPr>
    </w:p>
    <w:p>
      <w:pPr>
        <w:sectPr>
          <w:pgSz w:w="11900" w:h="16838" w:orient="portrait"/>
          <w:cols w:equalWidth="0" w:num="1">
            <w:col w:w="11400"/>
          </w:cols>
          <w:pgMar w:left="240" w:top="108" w:right="259" w:bottom="1440" w:gutter="0" w:footer="0" w:header="0"/>
        </w:sectPr>
      </w:pPr>
    </w:p>
    <w:p>
      <w:pPr>
        <w:ind w:left="40"/>
        <w:spacing w:after="0"/>
        <w:rPr>
          <w:sz w:val="20"/>
          <w:szCs w:val="20"/>
          <w:color w:val="auto"/>
        </w:rPr>
      </w:pPr>
      <w:r>
        <w:rPr>
          <w:rFonts w:ascii="Arial" w:cs="Arial" w:eastAsia="Arial" w:hAnsi="Arial"/>
          <w:sz w:val="16"/>
          <w:szCs w:val="16"/>
          <w:color w:val="auto"/>
        </w:rPr>
        <w:t>4.7(a)</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4.7(b)</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Indenture, dated as of March 7, 2007, among the registrant, the guarantors thereto and The Bank of New York Mellon, as trustee, filed as Exhibit 4.1 to the Report on Form 8-K filed with the SEC on March 7, 2007, and incorporated herein by reference.</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First Supplemental Indenture, dated November 29, 2011, by and among the registrant, Somerset Pharmaceuticals, Inc., Dey, Inc., Dey Pharma, L.P., Dey Limited Partner, Inc., EMD, Inc., Mylan Delaware Inc., Mylan LHC Inc. and The Bank of New York Mellon, as trustee, to the Indenture, dated March 7, 2007, among the registrant, the Guarantors thereto and The Bank of New York Mellon, as trustee, filed as Exhibit 4.4 to Form 8-K filed with the SEC on November 30, 2011, and incorporated herein by reference.</w:t>
      </w:r>
    </w:p>
    <w:p>
      <w:pPr>
        <w:spacing w:after="0" w:line="114" w:lineRule="exact"/>
        <w:rPr>
          <w:sz w:val="20"/>
          <w:szCs w:val="20"/>
          <w:color w:val="auto"/>
        </w:rPr>
      </w:pPr>
    </w:p>
    <w:p>
      <w:pPr>
        <w:sectPr>
          <w:pgSz w:w="11900" w:h="16838" w:orient="portrait"/>
          <w:cols w:equalWidth="0" w:num="2">
            <w:col w:w="920" w:space="720"/>
            <w:col w:w="9760"/>
          </w:cols>
          <w:pgMar w:left="240" w:top="108" w:right="25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4.8</w:t>
            </w:r>
          </w:p>
        </w:tc>
        <w:tc>
          <w:tcPr>
            <w:tcW w:w="10300" w:type="dxa"/>
            <w:vAlign w:val="bottom"/>
          </w:tcPr>
          <w:p>
            <w:pPr>
              <w:ind w:left="540"/>
              <w:spacing w:after="0"/>
              <w:rPr>
                <w:sz w:val="20"/>
                <w:szCs w:val="20"/>
                <w:color w:val="auto"/>
              </w:rPr>
            </w:pPr>
            <w:r>
              <w:rPr>
                <w:rFonts w:ascii="Arial" w:cs="Arial" w:eastAsia="Arial" w:hAnsi="Arial"/>
                <w:sz w:val="18"/>
                <w:szCs w:val="18"/>
                <w:color w:val="auto"/>
                <w:w w:val="94"/>
              </w:rPr>
              <w:t>Indenture, dated December 21, 2012, among the registrant, the guarantors named therein, and The Bank of New York Mellon, as</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Arial" w:cs="Arial" w:eastAsia="Arial" w:hAnsi="Arial"/>
                <w:sz w:val="18"/>
                <w:szCs w:val="18"/>
                <w:color w:val="auto"/>
                <w:w w:val="98"/>
              </w:rPr>
              <w:t>trustee, filed as Exhibit 4.1 to the Report on Form 8-K filed with the SEC on December 24, 2012, and incorporated herein by</w:t>
            </w:r>
          </w:p>
        </w:tc>
      </w:tr>
      <w:tr>
        <w:trPr>
          <w:trHeight w:val="230"/>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Arial" w:cs="Arial" w:eastAsia="Arial" w:hAnsi="Arial"/>
                <w:sz w:val="18"/>
                <w:szCs w:val="18"/>
                <w:color w:val="auto"/>
              </w:rPr>
              <w:t>reference.</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10300" w:type="dxa"/>
            <w:vAlign w:val="bottom"/>
          </w:tcPr>
          <w:p>
            <w:pPr>
              <w:ind w:left="540"/>
              <w:spacing w:after="0"/>
              <w:rPr>
                <w:sz w:val="20"/>
                <w:szCs w:val="20"/>
                <w:color w:val="auto"/>
              </w:rPr>
            </w:pPr>
            <w:r>
              <w:rPr>
                <w:rFonts w:ascii="Arial" w:cs="Arial" w:eastAsia="Arial" w:hAnsi="Arial"/>
                <w:sz w:val="18"/>
                <w:szCs w:val="18"/>
                <w:color w:val="auto"/>
                <w:w w:val="92"/>
              </w:rPr>
              <w:t>1986 Incentive Stock Option Plan, as amended to date, filed as Exhibit 10(b) to Form 10-K for the fiscal year ended March 31, 1993,</w:t>
            </w:r>
          </w:p>
        </w:tc>
      </w:tr>
      <w:tr>
        <w:trPr>
          <w:trHeight w:val="230"/>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0300" w:type="dxa"/>
            <w:vAlign w:val="bottom"/>
          </w:tcPr>
          <w:p>
            <w:pPr>
              <w:ind w:left="540"/>
              <w:spacing w:after="0"/>
              <w:rPr>
                <w:sz w:val="20"/>
                <w:szCs w:val="20"/>
                <w:color w:val="auto"/>
              </w:rPr>
            </w:pPr>
            <w:r>
              <w:rPr>
                <w:rFonts w:ascii="Arial" w:cs="Arial" w:eastAsia="Arial" w:hAnsi="Arial"/>
                <w:sz w:val="18"/>
                <w:szCs w:val="18"/>
                <w:color w:val="auto"/>
                <w:w w:val="91"/>
              </w:rPr>
              <w:t>1997 Incentive Stock Option Plan, as amended to date, filed as Exhibit 10.1 to Form 10-Q for the quarter ended September 30, 2002,</w:t>
            </w:r>
          </w:p>
        </w:tc>
      </w:tr>
      <w:tr>
        <w:trPr>
          <w:trHeight w:val="230"/>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0300" w:type="dxa"/>
            <w:vAlign w:val="bottom"/>
          </w:tcPr>
          <w:p>
            <w:pPr>
              <w:ind w:left="540"/>
              <w:spacing w:after="0"/>
              <w:rPr>
                <w:sz w:val="20"/>
                <w:szCs w:val="20"/>
                <w:color w:val="auto"/>
              </w:rPr>
            </w:pPr>
            <w:r>
              <w:rPr>
                <w:rFonts w:ascii="Arial" w:cs="Arial" w:eastAsia="Arial" w:hAnsi="Arial"/>
                <w:sz w:val="18"/>
                <w:szCs w:val="18"/>
                <w:color w:val="auto"/>
                <w:w w:val="95"/>
              </w:rPr>
              <w:t>1992 Nonemployee Director Stock Option Plan, as amended to date, filed as Exhibit 10(l) to Form 10-K for the fiscal year ended</w:t>
            </w:r>
          </w:p>
        </w:tc>
      </w:tr>
      <w:tr>
        <w:trPr>
          <w:trHeight w:val="230"/>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Arial" w:cs="Arial" w:eastAsia="Arial" w:hAnsi="Arial"/>
                <w:sz w:val="18"/>
                <w:szCs w:val="18"/>
                <w:color w:val="auto"/>
              </w:rPr>
              <w:t>March 31, 1998, and incorporated herein by reference.*</w:t>
            </w: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10.4(a)</w:t>
            </w:r>
          </w:p>
        </w:tc>
        <w:tc>
          <w:tcPr>
            <w:tcW w:w="10300" w:type="dxa"/>
            <w:vAlign w:val="bottom"/>
          </w:tcPr>
          <w:p>
            <w:pPr>
              <w:ind w:left="540"/>
              <w:spacing w:after="0"/>
              <w:rPr>
                <w:sz w:val="20"/>
                <w:szCs w:val="20"/>
                <w:color w:val="auto"/>
              </w:rPr>
            </w:pPr>
            <w:r>
              <w:rPr>
                <w:rFonts w:ascii="Arial" w:cs="Arial" w:eastAsia="Arial" w:hAnsi="Arial"/>
                <w:sz w:val="18"/>
                <w:szCs w:val="18"/>
                <w:color w:val="auto"/>
              </w:rPr>
              <w:t>Amended and Restated 2003 Long-Term Incentive Plan.*</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10.4(b)</w:t>
            </w:r>
          </w:p>
        </w:tc>
        <w:tc>
          <w:tcPr>
            <w:tcW w:w="10300" w:type="dxa"/>
            <w:vAlign w:val="bottom"/>
          </w:tcPr>
          <w:p>
            <w:pPr>
              <w:ind w:left="540"/>
              <w:spacing w:after="0"/>
              <w:rPr>
                <w:sz w:val="20"/>
                <w:szCs w:val="20"/>
                <w:color w:val="auto"/>
              </w:rPr>
            </w:pPr>
            <w:r>
              <w:rPr>
                <w:rFonts w:ascii="Arial" w:cs="Arial" w:eastAsia="Arial" w:hAnsi="Arial"/>
                <w:sz w:val="18"/>
                <w:szCs w:val="18"/>
                <w:color w:val="auto"/>
                <w:w w:val="93"/>
              </w:rPr>
              <w:t>Form of Stock Option Agreement under the 2003 Long-Term Incentive Plan, filed as Exhibit 10.4(b) to Form 10-K for the fiscal year</w:t>
            </w:r>
          </w:p>
        </w:tc>
      </w:tr>
      <w:tr>
        <w:trPr>
          <w:trHeight w:val="230"/>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Arial" w:cs="Arial" w:eastAsia="Arial" w:hAnsi="Arial"/>
                <w:sz w:val="18"/>
                <w:szCs w:val="18"/>
                <w:color w:val="auto"/>
              </w:rPr>
              <w:t>ended March 31, 2005, and incorporated herein by reference.*</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10.4(c)</w:t>
            </w:r>
          </w:p>
        </w:tc>
        <w:tc>
          <w:tcPr>
            <w:tcW w:w="10300" w:type="dxa"/>
            <w:vAlign w:val="bottom"/>
          </w:tcPr>
          <w:p>
            <w:pPr>
              <w:ind w:left="540"/>
              <w:spacing w:after="0"/>
              <w:rPr>
                <w:sz w:val="20"/>
                <w:szCs w:val="20"/>
                <w:color w:val="auto"/>
              </w:rPr>
            </w:pPr>
            <w:r>
              <w:rPr>
                <w:rFonts w:ascii="Arial" w:cs="Arial" w:eastAsia="Arial" w:hAnsi="Arial"/>
                <w:sz w:val="18"/>
                <w:szCs w:val="18"/>
                <w:color w:val="auto"/>
                <w:w w:val="94"/>
              </w:rPr>
              <w:t>Form of Restricted Share Award under the 2003 Long-Term Incentive Plan, filed as Exhibit 10.4(c) to Form 10-K for the fiscal year</w:t>
            </w:r>
          </w:p>
        </w:tc>
      </w:tr>
      <w:tr>
        <w:trPr>
          <w:trHeight w:val="230"/>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Arial" w:cs="Arial" w:eastAsia="Arial" w:hAnsi="Arial"/>
                <w:sz w:val="18"/>
                <w:szCs w:val="18"/>
                <w:color w:val="auto"/>
              </w:rPr>
              <w:t>ended March 31, 2005, and incorporated herein by reference.*</w:t>
            </w: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00"/>
          </w:cols>
          <w:pgMar w:left="240" w:top="108" w:right="25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94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Mylan Inc. Severance Plan, amended as of August, 2009, filed as Exhibit 10.6 to Form 10-Q for the quarter ended September 30,</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2009,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89"/>
              </w:rPr>
              <w:t>3.75% Cash Convertible Notes due 2015 Purchase Agreement, dated September 9, 2008, among the registrant and the initial purchaser</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named therein, filed as Exhibit 1.1 to the Report on Form 8-K filed with the SEC on September 15, 2008,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10.7(a)</w:t>
            </w:r>
          </w:p>
        </w:tc>
        <w:tc>
          <w:tcPr>
            <w:tcW w:w="9940" w:type="dxa"/>
            <w:vAlign w:val="bottom"/>
          </w:tcPr>
          <w:p>
            <w:pPr>
              <w:ind w:left="180"/>
              <w:spacing w:after="0"/>
              <w:rPr>
                <w:sz w:val="20"/>
                <w:szCs w:val="20"/>
                <w:color w:val="auto"/>
              </w:rPr>
            </w:pPr>
            <w:r>
              <w:rPr>
                <w:rFonts w:ascii="Arial" w:cs="Arial" w:eastAsia="Arial" w:hAnsi="Arial"/>
                <w:sz w:val="18"/>
                <w:szCs w:val="18"/>
                <w:color w:val="auto"/>
              </w:rPr>
              <w:t>Confirmation of OTC Convertible Note Hedge Transaction, dated September 9, 2008, among the registrant, Merrill Lynch</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International and Merrill Lynch, Pierce, Fenner &amp; Smith Incorporated, filed as Exhibit 10.1 to the Report on Form 8-K filed with the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SEC on September 15, 2008,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10.7(b)</w:t>
            </w: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Confirmation of OTC Convertible Note Hedge Transaction, amended as of November 25, 2008, among the registrant, Merrill Lynch</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6"/>
              </w:rPr>
              <w:t>International and Merrill Lynch, Pierce, Fenner &amp; Smith Incorporated, filed as Exhibit 10.7(b) to the Report on Form 10-K for the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fiscal year ended December 31, 2008,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Confirmation of OTC Convertible Note Hedge Transaction, dated September 9, 2008, between the registrant and Wells Fargo Bank,</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National Association, filed as Exhibit 10.2 to the Report on Form 8-K filed with the SEC on September 15, 2008, and incorporated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Confirmation of OTC Warrant Transaction, dated September 9, 2008, among the registrant, Merrill Lynch International and Merrill</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Lynch, Pierce, Fenner &amp; Smith Incorporated, filed as Exhibit 10.3 to the Report on Form 8-K filed with the SEC on September 15,</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2008,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8"/>
              </w:rPr>
              <w:t>Confirmation of OTC Warrant Transaction, dated September 9, 2008, between the registrant and Wells Fargo Bank, National</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Association, filed as Exhibit 10.4 to the Report on Form 8-K filed with the SEC on September 15, 2008,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Amendment to Confirmation of OTC Warrant Transaction, dated September 15, 2008 among the registrant, Merrill Lynch</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International and Merrill Lynch, Pierce, Fenner &amp; Smith Incorporated, filed as Exhibit 10.5 to the Report on Form 8-K filed with the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SEC on September 15, 2008,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Amendment to Confirmation of OTC Warrant Transaction, dated September 15, 2008, between the registrant and Wells Fargo Bank,</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National Association, filed as Exhibit 10.6 to the Report on Form 8-K filed with the SEC on September 15, 2008, and incorporated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Amendment to Confirmation of OTC Warrant Transaction, dated as of September 9, 2008 among Mylan Inc., Merrill Lynch</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International and Merrill Lynch, Pierce, Fenner &amp; Smith Incorporated, filed as Exhibit 10.7 to the Report on Form 8-K filed with the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SEC on September 15, 2008,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Amendment to Confirmation of OTC Warrant Transaction, dated as of September 9, 2008 among Mylan Inc., Merrill Lynch</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International and Merrill Lynch, Pierce, Fenner &amp; Smith Incorporated, filed as Exhibit 10.8 to the Report on Form 8-K filed with the</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SEC on September 15, 2008,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8"/>
              </w:rPr>
              <w:t>Amendment to the Confirmation of OTC Warrant Transaction, dated September 9, 2008, among the Company, Merrill Lynch</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International and Merrill Lynch Pierce, Fenner &amp; Smith Incorporated, dated September 9, 2011, and filed as Exhibit 10.1 to the Report</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on Form 10-Q filed with the SEC on October 26, 2011,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Amendment to the Confirmation of OTC Warrant Transaction, dated September 9, 2008, between the Company and Goldman, Sachs</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&amp; Co., as successor to Wells Fargo Bank, National Association, dated September 13, 2011, and filed as Exhibit 10.2 to the Report on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Form 10-Q filed with the SEC on October 26, 2011,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Amendment to the Confirmation of OTC Warrant Transaction, dated September 9, 2008, between the Company and Goldman, Sachs</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&amp; Co., as successor to Wells Fargo Bank, National Association, dated September 14, 2011, and filed as Exhibit 10.3 to the Report on</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Form 10-Q filed with the SEC on October 26, 2011,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Second Amended and Restated Executive Employment Agreement, dated October 24, 2011 and effective January 1, 2012, by and</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between the registrant and Robert J. Coury, filed as Exhibit 10.1 to Form 8-K filed with the SEC on October 28, 2011, and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Amended and Restated Executive Employment Agreement, dated October 24, 2011 and effective January 1, 2012, by and between the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registrant and Heather Bresch, filed as Exhibit 10.2 to Form 8-K filed with the SEC on October 28, 2011,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Amended and Restated Executive Employment Agreement, dated October 24, 2011 and effective January 1, 2012, by and between the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6"/>
              </w:rPr>
              <w:t>registrant and Rajiv Malik, filed as Exhibit 10.3 to Form 8-K filed with the SEC on October 28, 2011,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00"/>
          </w:cols>
          <w:pgMar w:left="240" w:top="108" w:right="2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94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10.21(a)</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9"/>
              </w:rPr>
              <w:t>Executive Employment Agreement, dated as of February 28, 2008, between the registrant and Daniel C. Rizzo, Jr., filed as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Exhibit 10.20(a) to Form 10-K for the fiscal year ended December 31, 2009,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10.21(b)</w:t>
            </w: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Amendment No. 1 to Executive Employment Agreement, dated as of December 22, 2008, between the registrant and Daniel C. Rizzo,</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6"/>
              </w:rPr>
              <w:t>Jr., filed as Exhibit 10.20(b) to Form 10-K for the fiscal year ended December 31, 2009,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10.21(c)</w:t>
            </w: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Amendment No. 2 to Executive Employment Agreement, dated as of February 22, 2011, between the registrant and Daniel C. Rizzo,</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7"/>
              </w:rPr>
              <w:t>Jr. filed as Exhibit 10.18(c) to Form 10-K for the fiscal year ended December 31, 2010,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7"/>
              </w:rPr>
              <w:t>Executive Employment Agreement, dated as of February 24, 2010, by and between the registrant and John Sheehan, filed as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Exhibit 10.1 to Form 10-Q for the quarter ended March 31, 2010,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Amended and Restated Executive Employment Agreement, dated October 24, 2011 and effective January 1, 2012, by and between the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registrant and Harry Korman, filed as Exhibit 10.4 to Form 8-K filed with the SEC on October 28, 2011,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Amended and Restated Executive Employment Agreement, dated October 24, 2011 and effective January 1, 2012, by and between the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registrant and Anthony Mauro, filed as Exhibit 10.5 to Form 8-K filed with the SEC on October 28, 2011,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10.25(a)</w:t>
            </w: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Retirement Benefit Agreement, dated as of December 31, 2004, between the registrant and Robert J. Coury filed as Exhibit 10.7 to</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Form 10-Q for the quarter ended December 31, 2004,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10.25(b)</w:t>
            </w:r>
          </w:p>
        </w:tc>
        <w:tc>
          <w:tcPr>
            <w:tcW w:w="9940" w:type="dxa"/>
            <w:vAlign w:val="bottom"/>
          </w:tcPr>
          <w:p>
            <w:pPr>
              <w:ind w:left="180"/>
              <w:spacing w:after="0"/>
              <w:rPr>
                <w:sz w:val="20"/>
                <w:szCs w:val="20"/>
                <w:color w:val="auto"/>
              </w:rPr>
            </w:pPr>
            <w:r>
              <w:rPr>
                <w:rFonts w:ascii="Arial" w:cs="Arial" w:eastAsia="Arial" w:hAnsi="Arial"/>
                <w:sz w:val="18"/>
                <w:szCs w:val="18"/>
                <w:color w:val="auto"/>
                <w:w w:val="99"/>
              </w:rPr>
              <w:t>Amendment to Retirement Benefit Agreement dated as of April 3, 2006, between the registrant and Robert J. Coury filed as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Exhibit 10.11(b) to Form 10-K for the fiscal year ended March 31, 2006,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10.25(c)</w:t>
            </w: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Amendment to Retirement Benefit Agreement dated as of December 22, 2008, between the registrant and Robert J. Coury. filed as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Exhibit 10.20(c) to Form 10-K for the fiscal year ended December 31, 2008,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10.25(d)</w:t>
            </w: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Amendment to Retirement Benefit Agreement dated as of March 3, 2010, by and between the registrant and Robert J. Coury, filed as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Exhibit 10.1 to the Report on Form 8-K filed with the SEC on March 5, 2010,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10.25(e)</w:t>
            </w:r>
          </w:p>
        </w:tc>
        <w:tc>
          <w:tcPr>
            <w:tcW w:w="9940" w:type="dxa"/>
            <w:vAlign w:val="bottom"/>
          </w:tcPr>
          <w:p>
            <w:pPr>
              <w:ind w:left="180"/>
              <w:spacing w:after="0"/>
              <w:rPr>
                <w:sz w:val="20"/>
                <w:szCs w:val="20"/>
                <w:color w:val="auto"/>
              </w:rPr>
            </w:pPr>
            <w:r>
              <w:rPr>
                <w:rFonts w:ascii="Arial" w:cs="Arial" w:eastAsia="Arial" w:hAnsi="Arial"/>
                <w:sz w:val="18"/>
                <w:szCs w:val="18"/>
                <w:color w:val="auto"/>
                <w:w w:val="95"/>
              </w:rPr>
              <w:t>Amendment to Retirement Benefit Agreement, dated October 24, 2011 and effective as of January 1, 2012, by and between the</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registrant and Robert J. Coury, filed as Exhibit 10.6 to Form 8-K filed with the SEC on October 28, 2011, and incorporated herein by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Retirement Benefit Agreement, dated as of August 31, 2009, by and between the registrant and Heather Bresch filed as Exhibit 10.3 to</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Form 10-Q for the quarter ended September 30, 2009,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Retirement Benefit Agreement, dated as of August 31, 2009, by and between the registrant and Rajiv Malik filed as Exhibit 10.4 to</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Form 10-Q for the quarter ended September 30, 2009,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Retirement Benefit Agreement dated as of February 22, 2011, by and between the registrant and John Sheehan, filed as Exhibit 10.23</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to Form 10-K for the fiscal year ended December 31, 2010,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Retirement Benefit Agreement, dated January 27, 1995, between the registrant and C.B. Todd, filed as Exhibit 10(b) to Form 10-K for</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the fiscal year ended March 31, 1995,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10.30(a)</w:t>
            </w:r>
          </w:p>
        </w:tc>
        <w:tc>
          <w:tcPr>
            <w:tcW w:w="9940" w:type="dxa"/>
            <w:vAlign w:val="bottom"/>
          </w:tcPr>
          <w:p>
            <w:pPr>
              <w:ind w:left="180"/>
              <w:spacing w:after="0"/>
              <w:rPr>
                <w:sz w:val="20"/>
                <w:szCs w:val="20"/>
                <w:color w:val="auto"/>
              </w:rPr>
            </w:pPr>
            <w:r>
              <w:rPr>
                <w:rFonts w:ascii="Arial" w:cs="Arial" w:eastAsia="Arial" w:hAnsi="Arial"/>
                <w:sz w:val="18"/>
                <w:szCs w:val="18"/>
                <w:color w:val="auto"/>
                <w:w w:val="98"/>
              </w:rPr>
              <w:t>Transition and Succession Agreement, dated as of December 15, 2003, between the registrant and Robert J. Coury, filed as</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Exhibit 10.19 to Form 10-Q for the quarter ended December 31, 2003,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10.30(b)</w:t>
            </w:r>
          </w:p>
        </w:tc>
        <w:tc>
          <w:tcPr>
            <w:tcW w:w="9940" w:type="dxa"/>
            <w:vAlign w:val="bottom"/>
          </w:tcPr>
          <w:p>
            <w:pPr>
              <w:ind w:left="180"/>
              <w:spacing w:after="0"/>
              <w:rPr>
                <w:sz w:val="20"/>
                <w:szCs w:val="20"/>
                <w:color w:val="auto"/>
              </w:rPr>
            </w:pPr>
            <w:r>
              <w:rPr>
                <w:rFonts w:ascii="Arial" w:cs="Arial" w:eastAsia="Arial" w:hAnsi="Arial"/>
                <w:sz w:val="18"/>
                <w:szCs w:val="18"/>
                <w:color w:val="auto"/>
                <w:w w:val="89"/>
              </w:rPr>
              <w:t>Amendment No. 1 to Transition and Succession Agreement, dated as of December 2, 2004, between the registrant and Robert J. Coury,</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filed as Exhibit 10.1 to Form 10-Q for the quarter ended December 31, 2004, 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10.30(c)</w:t>
            </w:r>
          </w:p>
        </w:tc>
        <w:tc>
          <w:tcPr>
            <w:tcW w:w="9940" w:type="dxa"/>
            <w:vAlign w:val="bottom"/>
          </w:tcPr>
          <w:p>
            <w:pPr>
              <w:ind w:left="180"/>
              <w:spacing w:after="0"/>
              <w:rPr>
                <w:sz w:val="20"/>
                <w:szCs w:val="20"/>
                <w:color w:val="auto"/>
              </w:rPr>
            </w:pPr>
            <w:r>
              <w:rPr>
                <w:rFonts w:ascii="Arial" w:cs="Arial" w:eastAsia="Arial" w:hAnsi="Arial"/>
                <w:sz w:val="18"/>
                <w:szCs w:val="18"/>
                <w:color w:val="auto"/>
                <w:w w:val="90"/>
              </w:rPr>
              <w:t>Amendment No. 2 to Transition and Succession Agreement, dated as of April 3, 2006, between the registrant and Robert J. Coury filed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as Exhibit 10.19(c) to Form 10-K for the fiscal year ended March 31, 2006, and incorporated herein by reference.*</w:t>
            </w:r>
          </w:p>
        </w:tc>
      </w:tr>
      <w:tr>
        <w:trPr>
          <w:trHeight w:val="608"/>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40" w:type="dxa"/>
            <w:vAlign w:val="bottom"/>
          </w:tcPr>
          <w:p>
            <w:pPr>
              <w:ind w:left="412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400"/>
          </w:cols>
          <w:pgMar w:left="240" w:top="108" w:right="25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10.30(d)</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10.31(a)</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10.31(b)</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10.32(a)</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10.32(b)</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10.33(a)</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10.33(b)</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10.33(c)</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10.34</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10.35(a)</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10.35(b)</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10.35(c)</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10.36(a)</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10.36(b)</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10.36(c)</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10.37</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10.38</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Amendment No. 3 to Transition and Succession Agreement, dated as of December 22, 2008, between the registrant and Robert J. Coury, filed as Exhibit 10.25(d) to Form 10-K for the fiscal year ended December 31, 2008, and incorporated herein by reference.*</w:t>
      </w:r>
    </w:p>
    <w:p>
      <w:pPr>
        <w:spacing w:after="0" w:line="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Amended and Restated Transition and Succession Agreement, dated as of October 2, 2007, between the registrant and Heather Bresch, filed as Exhibit 10.2 to Form 10-Q for the quarter ended March 31, 2008, and incorporated herein by reference.*</w:t>
      </w:r>
    </w:p>
    <w:p>
      <w:pPr>
        <w:spacing w:after="0" w:line="10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Amendment No. 1 to Transition and Succession Agreement, dated as of December 22, 2008, between the registrant and Heather Bresch, filed as Exhibit 10.27(b) to Form 10-K for the fiscal year ended December 31, 2008, and incorporated herein by reference.*</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Transition and Succession Agreement, dated as of January 31, 2007, between the registrant and Rajiv Malik, filed as Exhibit 10.5 to Form 10-Q for the quarter ended March 31, 2008, and incorporated herein by reference.*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Amendment No. 1 to Transition and Succession Agreement, dated as of December 22, 2008, between the registrant and Rajiv Malik, filed as Exhibit 10.28(b) to Form 10-K for the fiscal year ended December 31, 2008, and incorporated herein by reference.*</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Transition and Succession Agreement, dated as of February 28, 2008, between the registrant and Daniel C. Rizzo, Jr., filed as Exhibit 10.31(a) to Form 10-K for the fiscal year ended December 31, 2009, and incorporated herein by reference.*</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Amendment No. 1 to Transition and Succession Agreement, dated as of December 22, 2008, between the registrant and Daniel C. Rizzo, Jr., filed as Exhibit 10.31(b) to Form 10-K for the fiscal year ended December 31, 2009, and incorporated herein by reference.*</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Amendment No. 2 to Transition and Succession Agreement, dated as of October 15, 2009, between the registrant and Daniel C. Rizzo, Jr., filed as Exhibit 10.31(c) to Form 10-K for the fiscal year ended December 31, 2009, and incorporated herein by reference.*</w:t>
      </w:r>
    </w:p>
    <w:p>
      <w:pPr>
        <w:spacing w:after="0" w:line="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Transition and Succession Agreement, dated as of April 1, 2010, by and between the registrant and John Sheehan, filed as Exhibit 10.3 to Form 10-Q for the quarter ended March 31, 2010, and incorporated herein by reference.*</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Transition and Succession Agreement, dated as of January 10, 2006, by and between the registrant and Harry Korman, filed as Exhibit 10.4(a) to Form 10-Q for the quarter ended March 31, 2012, and incorporated herein by reference.*</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Amendment No. 1 to Transition and Succession Agreement, dated as of April 3, 2006, by and between the registrant and Harry Korman, filed as Exhibit 10.4(b) to Form 10-Q for the quarter ended March 31, 2012, and incorporated herein by reference.*</w:t>
      </w: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Amendment No. 2 to Transition and Succession Agreement, dated as of December 15, 2008, by and between the registrant and Harry Korman, filed as Exhibit 10.4(c) to Form 10-Q for the quarter ended March 31, 2012, and incorporated herein by reference.*</w:t>
      </w: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Transition and Succession Agreement, dated as of February 25, 2008, by and between the registrant and Anthony Mauro, filed as Exhibit 10.5(a) to Form 10-Q for the quarter ended March 31, 2012, and incorporated herein by reference.*</w:t>
      </w:r>
    </w:p>
    <w:p>
      <w:pPr>
        <w:spacing w:after="0" w:line="2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Amendment No. 1 to Transition and Succession Agreement, dated as of December 15, 2008, by and between the registrant and Anthony Mauro, filed as Exhibit 10.5(b) to Form 10-Q for the quarter ended March 31, 2012, and incorporated herein by reference.*</w:t>
      </w:r>
    </w:p>
    <w:p>
      <w:pPr>
        <w:spacing w:after="0" w:line="24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Amendment No. 2 to Transition and Succession Agreement, dated as of October 15, 2009, by and between the registrant and Anthony Mauro, filed as Exhibit 10.5(c) to Form 10-Q for the quarter ended March 31, 2012, and incorporated herein by reference.*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Health Insurance Program For Certain Officers of the registrant, effective December 15, 2001, filed as Exhibit 10.1 to Form 10-Q for the quarter ended December 31, 2001, and incorporated herein by reference.*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Form of Indemnification Agreement between the registrant and each Director, filed as Exhibit 10.31 to Form 10-Q/A for the quarter ended September 30, 2004, and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Agreement Regarding Consulting Services and Shareholders Agreement dated as of December 31, 2007 by and among the registrant,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MP Laboratories (Mauritius) Ltd, Prasad Nimmagadda, Globex and G2 Corporate Services Limited, filed as Exhibit 10.26 to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KT/A for the period ended December 31, 2007, and incorporated herein by reference.</w:t>
      </w:r>
    </w:p>
    <w:p>
      <w:pPr>
        <w:spacing w:after="0" w:line="38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124</w:t>
      </w:r>
    </w:p>
    <w:p>
      <w:pPr>
        <w:sectPr>
          <w:pgSz w:w="11900" w:h="16838" w:orient="portrait"/>
          <w:cols w:equalWidth="0" w:num="2">
            <w:col w:w="1280" w:space="360"/>
            <w:col w:w="9760"/>
          </w:cols>
          <w:pgMar w:left="240" w:top="125" w:right="25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94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10.40(a)</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Share Purchase Agreement, dated May 12, 2007, by and among Merck Generics Holding GmbH, Merck Internationale Beteiligung</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5"/>
              </w:rPr>
              <w:t>GmbH, Merck KGaA and the registrant, filed as Exhibit 10.1 to the Report on Form 8-K filed with the SEC on May 17, 2007, and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10.40(b)</w:t>
            </w: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Amendment No. 1 to Share Purchase Agreement, dated October 1, 2007, by and among the registrant and Merck Generics Holding</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GmbH, Merck S.A. Merck Internationale Beteiligung GmbH and Merck KGaA, filed as Exhibit 10.1 to the Report on Form 8-K filed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with the SEC on October 5, 2007,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Purchase Agreement, dated as of May 12, 2010, among the registrant, the guarantors named therein and Goldman, Sachs &amp; Co., as</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2"/>
              </w:rPr>
              <w:t>representative of the several purchasers named therein, filed as Exhibit 10.1 to Form 10-Q for the quarter ended June 30, 2010, and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Share Purchase Agreement, dated as of July 14, 2010, by and among Mylan Inc., Mylan Luxembourg L3 S.C.S., Bioniche Pharma</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3"/>
              </w:rPr>
              <w:t>Holdings Limited, the shareholders party thereto and the optionholders party thereto, filed as Exhibit 2.1 to the Report on Form 8-K</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filed with the SEC on July 16, 2010,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Purchase Agreement, dated as of July 30, 2010, among the registrant, the guarantors named therein and Goldman, Sachs &amp; Co., filed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as Exhibit 10.1 to Form 10-Q for the quarter ended September 30, 2010, and 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7"/>
              </w:rPr>
              <w:t>Mylan 401(k) Restoration Plan, filed as Exhibit 10.1 to the Report on Form 8-K filed with the SEC on December 11, 2009, and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incorporated herein by reference.*</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24"/>
                <w:szCs w:val="24"/>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Mylan Executive Income Deferral Plan, filed as Exhibit 10.2 to the Report on Form 8-K filed with the SEC on December 11, 2009,</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and incorporated herein by reference.*</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10.46(a)</w:t>
            </w:r>
          </w:p>
        </w:tc>
        <w:tc>
          <w:tcPr>
            <w:tcW w:w="9940" w:type="dxa"/>
            <w:vAlign w:val="bottom"/>
          </w:tcPr>
          <w:p>
            <w:pPr>
              <w:ind w:left="180"/>
              <w:spacing w:after="0"/>
              <w:rPr>
                <w:sz w:val="20"/>
                <w:szCs w:val="20"/>
                <w:color w:val="auto"/>
              </w:rPr>
            </w:pPr>
            <w:r>
              <w:rPr>
                <w:rFonts w:ascii="Arial" w:cs="Arial" w:eastAsia="Arial" w:hAnsi="Arial"/>
                <w:sz w:val="18"/>
                <w:szCs w:val="18"/>
                <w:color w:val="auto"/>
                <w:w w:val="91"/>
              </w:rPr>
              <w:t>Senior Credit Agreement dated, as of November 14, 2011, by and among the registrant, certain lenders and Bank of America, N.A., as</w:t>
            </w:r>
          </w:p>
        </w:tc>
      </w:tr>
      <w:tr>
        <w:trPr>
          <w:trHeight w:val="216"/>
        </w:trPr>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w w:val="94"/>
              </w:rPr>
              <w:t>Administrative Agent, filed as Exhibit 10.1 to the Report on Form 8-K filed with the SEC on November 15, 2011, and incorporated</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herein by reference.</w:t>
            </w:r>
          </w:p>
        </w:tc>
      </w:tr>
    </w:tbl>
    <w:p>
      <w:pPr>
        <w:spacing w:after="0" w:line="161" w:lineRule="exact"/>
        <w:rPr>
          <w:sz w:val="20"/>
          <w:szCs w:val="20"/>
          <w:color w:val="auto"/>
        </w:rPr>
      </w:pPr>
    </w:p>
    <w:p>
      <w:pPr>
        <w:sectPr>
          <w:pgSz w:w="11900" w:h="16838" w:orient="portrait"/>
          <w:cols w:equalWidth="0" w:num="1">
            <w:col w:w="11400"/>
          </w:cols>
          <w:pgMar w:left="240" w:top="108" w:right="259" w:bottom="1093" w:gutter="0" w:footer="0" w:header="0"/>
        </w:sectPr>
      </w:pPr>
    </w:p>
    <w:p>
      <w:pPr>
        <w:ind w:left="40"/>
        <w:spacing w:after="0"/>
        <w:rPr>
          <w:sz w:val="20"/>
          <w:szCs w:val="20"/>
          <w:color w:val="auto"/>
        </w:rPr>
      </w:pPr>
      <w:r>
        <w:rPr>
          <w:rFonts w:ascii="Arial" w:cs="Arial" w:eastAsia="Arial" w:hAnsi="Arial"/>
          <w:sz w:val="16"/>
          <w:szCs w:val="16"/>
          <w:color w:val="auto"/>
        </w:rPr>
        <w:t>10.46(b)</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10.47(a)</w:t>
      </w:r>
    </w:p>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8"/>
          <w:szCs w:val="18"/>
          <w:color w:val="auto"/>
        </w:rPr>
        <w:t>Amendment No. 1 to Senior Credit Agreement, dated December 7, 2012, by and among the registrant, certain lenders and Bank of America, N.A., as Administrative Agent.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Receivables Purchase Agreement, dated as of February 21, 2012, by and among Mylan Pharmaceuticals Inc., individually and as Servicer, Mylan Securitization LLC, as Seller, the Conduit Purchasers from time to time party thereto, the Committed Purchasers from time to time party thereto, the Letter of Credit Issuers from time to time a party thereto, the Purchaser Agents from time to time party thereto and The Bank of Tokyo-Mitsubishi UFJ, Ltd., New York Branch, as Agent, filed as Exhibit 10.1 to Form 10-Q for the quarter ended March 31, 2012, and incorporated herein by reference.</w:t>
      </w:r>
    </w:p>
    <w:p>
      <w:pPr>
        <w:spacing w:after="0" w:line="200" w:lineRule="exact"/>
        <w:rPr>
          <w:sz w:val="20"/>
          <w:szCs w:val="20"/>
          <w:color w:val="auto"/>
        </w:rPr>
      </w:pPr>
    </w:p>
    <w:p>
      <w:pPr>
        <w:sectPr>
          <w:pgSz w:w="11900" w:h="16838" w:orient="portrait"/>
          <w:cols w:equalWidth="0" w:num="2">
            <w:col w:w="920" w:space="720"/>
            <w:col w:w="9760"/>
          </w:cols>
          <w:pgMar w:left="240" w:top="108" w:right="259" w:bottom="1093"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10.47(c)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Amendment No. 1 to Receivables Purchase Agreement, dated as of July 20, 1012, by and among Mylan Pharmaceuticals Inc., individually and as Servicer, Mylan Securitization LLC, as Seller, the Conduit Purchasers from time to time party thereto, the Committed Purchasers from time to time party thereto, the Letter of Credit Issuer from time to time a party thereto, the Purchaser Agents from time to time party thereto and The Bank of Tokyo-Mitsubishi UFJ, Ltd., New York Branch, as Agent, filed as Exhibit 10.1 to Form 10-Q for the quarter ended June 30, 2012, and incorporated herein by reference.</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Amendment No. 2 to Receivables Purchase Agreement, dated as of September 24, 2012, by and among Mylan Pharmaceuticals Inc., individually and as Servicer, Mylan Securitization LLC, as Seller, the Conduit Purchasers from time to time party thereto, the Committed Purchasers from time to time party thereto, the Letter of Credit Issuer from time to time a party thereto, the Purchaser Agents from time to time party thereto and The Bank of Tokyo-Mitsubishi UFJ, Ltd., New York Branch, as Agent, filed as Exhibit 10.1 to Form 10-Q for the quarter ended September 30, 2012, and incorporated herein by reference.</w:t>
      </w:r>
    </w:p>
    <w:p>
      <w:pPr>
        <w:spacing w:after="0" w:line="200" w:lineRule="exact"/>
        <w:rPr>
          <w:sz w:val="20"/>
          <w:szCs w:val="20"/>
          <w:color w:val="auto"/>
        </w:rPr>
      </w:pPr>
    </w:p>
    <w:p>
      <w:pPr>
        <w:sectPr>
          <w:pgSz w:w="11900" w:h="16838" w:orient="portrait"/>
          <w:cols w:equalWidth="0" w:num="2">
            <w:col w:w="920" w:space="720"/>
            <w:col w:w="9760"/>
          </w:cols>
          <w:pgMar w:left="240" w:top="108" w:right="259" w:bottom="1093" w:gutter="0" w:footer="0" w:header="0"/>
          <w:type w:val="continuous"/>
        </w:sectPr>
      </w:pP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10.48(a)</w:t>
            </w:r>
          </w:p>
        </w:tc>
        <w:tc>
          <w:tcPr>
            <w:tcW w:w="10260" w:type="dxa"/>
            <w:vAlign w:val="bottom"/>
            <w:vMerge w:val="restart"/>
          </w:tcPr>
          <w:p>
            <w:pPr>
              <w:ind w:left="500"/>
              <w:spacing w:after="0"/>
              <w:rPr>
                <w:sz w:val="20"/>
                <w:szCs w:val="20"/>
                <w:color w:val="auto"/>
              </w:rPr>
            </w:pPr>
            <w:r>
              <w:rPr>
                <w:rFonts w:ascii="Arial" w:cs="Arial" w:eastAsia="Arial" w:hAnsi="Arial"/>
                <w:sz w:val="18"/>
                <w:szCs w:val="18"/>
                <w:color w:val="auto"/>
                <w:w w:val="94"/>
              </w:rPr>
              <w:t>Purchase and Contribution Agreement, dated as of February 21, 2012, between Mylan Pharmaceuticals Inc., as Originator and as</w:t>
            </w:r>
          </w:p>
        </w:tc>
        <w:tc>
          <w:tcPr>
            <w:tcW w:w="0" w:type="dxa"/>
            <w:vAlign w:val="bottom"/>
          </w:tcPr>
          <w:p>
            <w:pPr>
              <w:spacing w:after="0"/>
              <w:rPr>
                <w:sz w:val="1"/>
                <w:szCs w:val="1"/>
                <w:color w:val="auto"/>
              </w:rPr>
            </w:pPr>
          </w:p>
        </w:tc>
      </w:tr>
      <w:tr>
        <w:trPr>
          <w:trHeight w:val="67"/>
        </w:trPr>
        <w:tc>
          <w:tcPr>
            <w:tcW w:w="1100" w:type="dxa"/>
            <w:vAlign w:val="bottom"/>
          </w:tcPr>
          <w:p>
            <w:pPr>
              <w:spacing w:after="0"/>
              <w:rPr>
                <w:sz w:val="5"/>
                <w:szCs w:val="5"/>
                <w:color w:val="auto"/>
              </w:rPr>
            </w:pPr>
          </w:p>
        </w:tc>
        <w:tc>
          <w:tcPr>
            <w:tcW w:w="10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w w:val="96"/>
              </w:rPr>
              <w:t>Servicer, and Mylan Securitization LLC, as Buyer, filed as Exhibit 10.1 to Form 10-Q for the quarter ended March 31, 2012,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73"/>
        </w:trPr>
        <w:tc>
          <w:tcPr>
            <w:tcW w:w="1100" w:type="dxa"/>
            <w:vAlign w:val="bottom"/>
          </w:tcPr>
          <w:p>
            <w:pPr>
              <w:spacing w:after="0"/>
              <w:rPr>
                <w:sz w:val="20"/>
                <w:szCs w:val="20"/>
                <w:color w:val="auto"/>
              </w:rPr>
            </w:pPr>
            <w:r>
              <w:rPr>
                <w:rFonts w:ascii="Arial" w:cs="Arial" w:eastAsia="Arial" w:hAnsi="Arial"/>
                <w:sz w:val="18"/>
                <w:szCs w:val="18"/>
                <w:color w:val="auto"/>
              </w:rPr>
              <w:t>10.48(b)</w:t>
            </w:r>
          </w:p>
        </w:tc>
        <w:tc>
          <w:tcPr>
            <w:tcW w:w="10260" w:type="dxa"/>
            <w:vAlign w:val="bottom"/>
            <w:vMerge w:val="restart"/>
          </w:tcPr>
          <w:p>
            <w:pPr>
              <w:ind w:left="500"/>
              <w:spacing w:after="0"/>
              <w:rPr>
                <w:sz w:val="20"/>
                <w:szCs w:val="20"/>
                <w:color w:val="auto"/>
              </w:rPr>
            </w:pPr>
            <w:r>
              <w:rPr>
                <w:rFonts w:ascii="Arial" w:cs="Arial" w:eastAsia="Arial" w:hAnsi="Arial"/>
                <w:sz w:val="18"/>
                <w:szCs w:val="18"/>
                <w:color w:val="auto"/>
                <w:w w:val="95"/>
              </w:rPr>
              <w:t>Amendment No. 1 to Purchase and Contribution Agreement, dated as of July 20, 2012, between Mylan Pharmaceuticals Inc., as</w:t>
            </w:r>
          </w:p>
        </w:tc>
        <w:tc>
          <w:tcPr>
            <w:tcW w:w="0" w:type="dxa"/>
            <w:vAlign w:val="bottom"/>
          </w:tcPr>
          <w:p>
            <w:pPr>
              <w:spacing w:after="0"/>
              <w:rPr>
                <w:sz w:val="1"/>
                <w:szCs w:val="1"/>
                <w:color w:val="auto"/>
              </w:rPr>
            </w:pPr>
          </w:p>
        </w:tc>
      </w:tr>
      <w:tr>
        <w:trPr>
          <w:trHeight w:val="67"/>
        </w:trPr>
        <w:tc>
          <w:tcPr>
            <w:tcW w:w="1100" w:type="dxa"/>
            <w:vAlign w:val="bottom"/>
          </w:tcPr>
          <w:p>
            <w:pPr>
              <w:spacing w:after="0"/>
              <w:rPr>
                <w:sz w:val="5"/>
                <w:szCs w:val="5"/>
                <w:color w:val="auto"/>
              </w:rPr>
            </w:pPr>
          </w:p>
        </w:tc>
        <w:tc>
          <w:tcPr>
            <w:tcW w:w="10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w w:val="91"/>
              </w:rPr>
              <w:t>Originator and as Servicer, and Mylan Securitization LLC, as Buyer, filed as Exhibit 10.1 to Form 10-Q for the quarter ended June 30,</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Arial" w:cs="Arial" w:eastAsia="Arial" w:hAnsi="Arial"/>
                <w:sz w:val="18"/>
                <w:szCs w:val="18"/>
                <w:color w:val="auto"/>
              </w:rPr>
              <w:t>2012,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093" w:gutter="0" w:footer="0" w:header="0"/>
          <w:type w:val="continuous"/>
        </w:sectPr>
      </w:pPr>
    </w:p>
    <w:p>
      <w:pPr>
        <w:spacing w:after="0" w:line="42"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10.49</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Performance Guaranty, dated as of February 21, 2012, by Mylan Inc. in favor of The Bank of Tokyo-Mitsubishi UFJ, Ltd., New York Branch, as Agent, filed as Exhibit 10.1 to Form 10-Q for the quarter ended March 31, 2012, and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ectPr>
          <w:pgSz w:w="11900" w:h="16838" w:orient="portrait"/>
          <w:cols w:equalWidth="0" w:num="2">
            <w:col w:w="920" w:space="720"/>
            <w:col w:w="9760"/>
          </w:cols>
          <w:pgMar w:left="240" w:top="108" w:right="259" w:bottom="1093"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00"/>
          </w:cols>
          <w:pgMar w:left="240" w:top="108" w:right="259" w:bottom="1093"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920" w:type="dxa"/>
            <w:vAlign w:val="bottom"/>
          </w:tcPr>
          <w:p>
            <w:pPr>
              <w:spacing w:after="0"/>
              <w:rPr>
                <w:sz w:val="17"/>
                <w:szCs w:val="17"/>
                <w:color w:val="auto"/>
              </w:rPr>
            </w:pPr>
          </w:p>
        </w:tc>
      </w:tr>
      <w:tr>
        <w:trPr>
          <w:trHeight w:val="763"/>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9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6"/>
              </w:rPr>
              <w:t>Certification of Principal Executive Officer and Principal Financial Officer pursuant to Section 906 of the Sarbanes-Oxley Act of</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2002.</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175" w:lineRule="exact"/>
        <w:rPr>
          <w:sz w:val="20"/>
          <w:szCs w:val="20"/>
          <w:color w:val="auto"/>
        </w:rPr>
      </w:pPr>
    </w:p>
    <w:p>
      <w:pPr>
        <w:ind w:left="500" w:hanging="465"/>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108" w:right="27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to be signed on its behalf by the undersigned, thereunto duly authorized on February 27, 2013.</w:t>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Mylan Inc.</w:t>
      </w:r>
    </w:p>
    <w:p>
      <w:pPr>
        <w:spacing w:after="0" w:line="185" w:lineRule="exact"/>
        <w:rPr>
          <w:sz w:val="20"/>
          <w:szCs w:val="20"/>
          <w:color w:val="auto"/>
        </w:rPr>
      </w:pPr>
    </w:p>
    <w:p>
      <w:pPr>
        <w:ind w:left="6620"/>
        <w:spacing w:after="0"/>
        <w:tabs>
          <w:tab w:leader="none" w:pos="6980" w:val="left"/>
          <w:tab w:leader="none" w:pos="73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14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Form has been signed below by the following persons on behalf of the registrant and in the capacities indicated as of February 27, 2013.</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5280" w:type="dxa"/>
            <w:vAlign w:val="bottom"/>
          </w:tcPr>
          <w:p>
            <w:pPr>
              <w:jc w:val="center"/>
              <w:ind w:left="1350"/>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HEATHER BRESCH</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3"/>
              </w:rPr>
              <w:t>Chief Executive Officer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Heather Bresch</w:t>
            </w:r>
          </w:p>
        </w:tc>
        <w:tc>
          <w:tcPr>
            <w:tcW w:w="5280" w:type="dxa"/>
            <w:vAlign w:val="bottom"/>
          </w:tcPr>
          <w:p>
            <w:pPr>
              <w:jc w:val="center"/>
              <w:ind w:left="133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JOHN D. SHEEHAN</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John D. Sheehan</w:t>
            </w:r>
          </w:p>
        </w:tc>
        <w:tc>
          <w:tcPr>
            <w:tcW w:w="5280" w:type="dxa"/>
            <w:vAlign w:val="bottom"/>
          </w:tcPr>
          <w:p>
            <w:pPr>
              <w:jc w:val="center"/>
              <w:ind w:left="133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DANIEL C. RIZZO, JR.</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2"/>
              </w:rPr>
              <w:t>Senior Vice President, Chief Accounting Officer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Daniel C. Rizzo, Jr.</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0"/>
              </w:rPr>
              <w:t>and Corporate Controller</w:t>
            </w:r>
          </w:p>
        </w:tc>
      </w:tr>
      <w:tr>
        <w:trPr>
          <w:trHeight w:val="270"/>
        </w:trPr>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5280" w:type="dxa"/>
            <w:vAlign w:val="bottom"/>
          </w:tcPr>
          <w:p>
            <w:pPr>
              <w:jc w:val="center"/>
              <w:ind w:left="133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ROBERT J. COURY</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2"/>
              </w:rPr>
              <w:t>Executive Chairman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Robert J. Coury</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RODNEY L. PIATT</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2"/>
              </w:rPr>
              <w:t>Vice Chairman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Rodney L. Piatt</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WENDY CAMERON</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Wendy Cameron</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ROBERT J. CINDRICH</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Robert J. Cindrich</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NEIL DIMICK</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Neil Dimick</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MELINA HIGGINS</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Melina Higgins</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DOUGLAS J. LEECH</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Douglas J. Leech</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RAJIV MALIK</w:t>
            </w:r>
          </w:p>
        </w:tc>
        <w:tc>
          <w:tcPr>
            <w:tcW w:w="5280" w:type="dxa"/>
            <w:vAlign w:val="bottom"/>
          </w:tcPr>
          <w:p>
            <w:pPr>
              <w:jc w:val="center"/>
              <w:ind w:left="1330"/>
              <w:spacing w:after="0"/>
              <w:rPr>
                <w:sz w:val="20"/>
                <w:szCs w:val="20"/>
                <w:color w:val="auto"/>
              </w:rPr>
            </w:pPr>
            <w:r>
              <w:rPr>
                <w:rFonts w:ascii="Arial" w:cs="Arial" w:eastAsia="Arial" w:hAnsi="Arial"/>
                <w:sz w:val="18"/>
                <w:szCs w:val="18"/>
                <w:color w:val="auto"/>
                <w:w w:val="90"/>
              </w:rPr>
              <w:t>President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Rajiv Malik</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JOSEPH C. MAROON, M.D.</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Joseph C. Maroon, M.D.</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MARK W. PARRISH</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Mark W. Parrish</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C.B. TODD</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C.B. Todd</w:t>
            </w:r>
          </w:p>
        </w:tc>
        <w:tc>
          <w:tcPr>
            <w:tcW w:w="528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gridSpan w:val="2"/>
          </w:tcPr>
          <w:p>
            <w:pPr>
              <w:ind w:left="80"/>
              <w:spacing w:after="0"/>
              <w:rPr>
                <w:sz w:val="20"/>
                <w:szCs w:val="20"/>
                <w:color w:val="auto"/>
              </w:rPr>
            </w:pPr>
            <w:r>
              <w:rPr>
                <w:rFonts w:ascii="Arial" w:cs="Arial" w:eastAsia="Arial" w:hAnsi="Arial"/>
                <w:sz w:val="18"/>
                <w:szCs w:val="18"/>
                <w:color w:val="auto"/>
              </w:rPr>
              <w:t>RANDALL L. VANDERVEEN, PH.D.</w:t>
            </w:r>
          </w:p>
        </w:tc>
        <w:tc>
          <w:tcPr>
            <w:tcW w:w="5280" w:type="dxa"/>
            <w:vAlign w:val="bottom"/>
          </w:tcPr>
          <w:p>
            <w:pPr>
              <w:jc w:val="center"/>
              <w:ind w:left="135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Randall L. Vanderveen, Ph.D.</w:t>
            </w:r>
          </w:p>
        </w:tc>
        <w:tc>
          <w:tcPr>
            <w:tcW w:w="5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180"/>
          </w:cols>
          <w:pgMar w:left="240" w:top="125" w:right="47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580" w:type="dxa"/>
            <w:vAlign w:val="bottom"/>
          </w:tcPr>
          <w:p>
            <w:pPr>
              <w:spacing w:after="0"/>
              <w:rPr>
                <w:sz w:val="17"/>
                <w:szCs w:val="17"/>
                <w:color w:val="auto"/>
              </w:rPr>
            </w:pPr>
          </w:p>
        </w:tc>
      </w:tr>
      <w:tr>
        <w:trPr>
          <w:trHeight w:val="480"/>
        </w:trPr>
        <w:tc>
          <w:tcPr>
            <w:tcW w:w="1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10.4(a)</w:t>
            </w:r>
          </w:p>
        </w:tc>
        <w:tc>
          <w:tcPr>
            <w:tcW w:w="9580" w:type="dxa"/>
            <w:vAlign w:val="bottom"/>
          </w:tcPr>
          <w:p>
            <w:pPr>
              <w:ind w:left="180"/>
              <w:spacing w:after="0"/>
              <w:rPr>
                <w:sz w:val="20"/>
                <w:szCs w:val="20"/>
                <w:color w:val="auto"/>
              </w:rPr>
            </w:pPr>
            <w:r>
              <w:rPr>
                <w:rFonts w:ascii="Arial" w:cs="Arial" w:eastAsia="Arial" w:hAnsi="Arial"/>
                <w:sz w:val="18"/>
                <w:szCs w:val="18"/>
                <w:color w:val="auto"/>
              </w:rPr>
              <w:t>Amended and Restated 2003 Long-Term Incentive Plan.*</w:t>
            </w:r>
          </w:p>
        </w:tc>
      </w:tr>
      <w:tr>
        <w:trPr>
          <w:trHeight w:val="37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10.46(b)</w:t>
            </w:r>
          </w:p>
        </w:tc>
        <w:tc>
          <w:tcPr>
            <w:tcW w:w="9580" w:type="dxa"/>
            <w:vAlign w:val="bottom"/>
          </w:tcPr>
          <w:p>
            <w:pPr>
              <w:ind w:left="180"/>
              <w:spacing w:after="0"/>
              <w:rPr>
                <w:sz w:val="20"/>
                <w:szCs w:val="20"/>
                <w:color w:val="auto"/>
              </w:rPr>
            </w:pPr>
            <w:r>
              <w:rPr>
                <w:rFonts w:ascii="Arial" w:cs="Arial" w:eastAsia="Arial" w:hAnsi="Arial"/>
                <w:sz w:val="18"/>
                <w:szCs w:val="18"/>
                <w:color w:val="auto"/>
                <w:w w:val="90"/>
              </w:rPr>
              <w:t>Amendment No. 1 to Senior Credit Agreement, dated December 7, 2012, by and among the registrant, certain lenders and Bank of</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80" w:type="dxa"/>
            <w:vAlign w:val="bottom"/>
          </w:tcPr>
          <w:p>
            <w:pPr>
              <w:ind w:left="180"/>
              <w:spacing w:after="0"/>
              <w:rPr>
                <w:sz w:val="20"/>
                <w:szCs w:val="20"/>
                <w:color w:val="auto"/>
              </w:rPr>
            </w:pPr>
            <w:r>
              <w:rPr>
                <w:rFonts w:ascii="Arial" w:cs="Arial" w:eastAsia="Arial" w:hAnsi="Arial"/>
                <w:sz w:val="18"/>
                <w:szCs w:val="18"/>
                <w:color w:val="auto"/>
              </w:rPr>
              <w:t>America, N.A., as Administrative Agent.</w:t>
            </w:r>
          </w:p>
        </w:tc>
      </w:tr>
      <w:tr>
        <w:trPr>
          <w:trHeight w:val="392"/>
        </w:trPr>
        <w:tc>
          <w:tcPr>
            <w:tcW w:w="1280" w:type="dxa"/>
            <w:vAlign w:val="bottom"/>
          </w:tcPr>
          <w:p>
            <w:pPr>
              <w:ind w:lef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9580" w:type="dxa"/>
            <w:vAlign w:val="bottom"/>
          </w:tcPr>
          <w:p>
            <w:pPr>
              <w:ind w:left="180"/>
              <w:spacing w:after="0"/>
              <w:rPr>
                <w:sz w:val="20"/>
                <w:szCs w:val="20"/>
                <w:color w:val="auto"/>
              </w:rPr>
            </w:pPr>
            <w:r>
              <w:rPr>
                <w:rFonts w:ascii="Arial" w:cs="Arial" w:eastAsia="Arial" w:hAnsi="Arial"/>
                <w:sz w:val="18"/>
                <w:szCs w:val="18"/>
                <w:color w:val="auto"/>
              </w:rPr>
              <w:t>Subsidiaries of the registrant.</w:t>
            </w:r>
          </w:p>
        </w:tc>
      </w:tr>
      <w:tr>
        <w:trPr>
          <w:trHeight w:val="392"/>
        </w:trPr>
        <w:tc>
          <w:tcPr>
            <w:tcW w:w="1280" w:type="dxa"/>
            <w:vAlign w:val="bottom"/>
          </w:tcPr>
          <w:p>
            <w:pPr>
              <w:ind w:lef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958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580" w:type="dxa"/>
            <w:vAlign w:val="bottom"/>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9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58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77"/>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9580" w:type="dxa"/>
            <w:vAlign w:val="bottom"/>
          </w:tcPr>
          <w:p>
            <w:pPr>
              <w:ind w:left="180"/>
              <w:spacing w:after="0"/>
              <w:rPr>
                <w:sz w:val="20"/>
                <w:szCs w:val="20"/>
                <w:color w:val="auto"/>
              </w:rPr>
            </w:pPr>
            <w:r>
              <w:rPr>
                <w:rFonts w:ascii="Arial" w:cs="Arial" w:eastAsia="Arial" w:hAnsi="Arial"/>
                <w:sz w:val="18"/>
                <w:szCs w:val="18"/>
                <w:color w:val="auto"/>
                <w:w w:val="93"/>
              </w:rPr>
              <w:t>Certification of Principal Executive Officer and Principal Financial Officer pursuant to Section 906 of the Sarbanes-Oxley Act of</w:t>
            </w:r>
          </w:p>
        </w:tc>
      </w:tr>
      <w:tr>
        <w:trPr>
          <w:trHeight w:val="230"/>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580" w:type="dxa"/>
            <w:vAlign w:val="bottom"/>
          </w:tcPr>
          <w:p>
            <w:pPr>
              <w:ind w:left="180"/>
              <w:spacing w:after="0"/>
              <w:rPr>
                <w:sz w:val="20"/>
                <w:szCs w:val="20"/>
                <w:color w:val="auto"/>
              </w:rPr>
            </w:pPr>
            <w:r>
              <w:rPr>
                <w:rFonts w:ascii="Arial" w:cs="Arial" w:eastAsia="Arial" w:hAnsi="Arial"/>
                <w:sz w:val="18"/>
                <w:szCs w:val="18"/>
                <w:color w:val="auto"/>
              </w:rPr>
              <w:t>2002.</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5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5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5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5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58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392"/>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5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391" w:lineRule="exact"/>
        <w:rPr>
          <w:sz w:val="20"/>
          <w:szCs w:val="20"/>
          <w:color w:val="auto"/>
        </w:rPr>
      </w:pPr>
    </w:p>
    <w:p>
      <w:pPr>
        <w:ind w:left="500" w:hanging="465"/>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0" w:lineRule="exact"/>
        <w:rPr>
          <w:sz w:val="20"/>
          <w:szCs w:val="20"/>
          <w:color w:val="auto"/>
        </w:rPr>
      </w:pP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240" w:top="108" w:right="61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MYLAN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2003 LONG-TERM INCENTIVE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PURPOSE AND ADOPTION OF THE PLAN</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1.01 Purpose. </w:t>
      </w:r>
      <w:r>
        <w:rPr>
          <w:rFonts w:ascii="Arial" w:cs="Arial" w:eastAsia="Arial" w:hAnsi="Arial"/>
          <w:sz w:val="18"/>
          <w:szCs w:val="18"/>
          <w:color w:val="auto"/>
        </w:rPr>
        <w:t>The purpose of the Mylan Inc. Amended and Restated 2003 Long-Term Incentive Plan (as the same may be amended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“Plan”) is to assist Mylan Inc., a Pennsylvania corporation (previously known as Mylan Laboratories Inc.) (the “Company”), and its Subsidiaries (as defined below) in attracting and retaining highly competent key employees, consultants, independent contractors and non-employee directors and to act as an incentive in motivating selected key employees, consultants, independent contractors and non-employee directors of the Company and its Subsidiaries (as defined below) to achieve long-term corporate objectives.</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1.02 Adoption and Term. </w:t>
      </w:r>
      <w:r>
        <w:rPr>
          <w:rFonts w:ascii="Arial" w:cs="Arial" w:eastAsia="Arial" w:hAnsi="Arial"/>
          <w:sz w:val="16"/>
          <w:szCs w:val="16"/>
          <w:color w:val="auto"/>
        </w:rPr>
        <w:t>The Plan was approved by the Board of Directors of the Company (the “Board”) and became effective upon such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and upon approval by the shareholders of the Company at the 2003 annual meeting of shareholders. The Plan was amended on December 2, 2004, April 3, 2006, March 24, 2008, and May 7, 2009 and the Plan was amended and restated on February 17, 2012 by the Board, subject to the approval by shareholders of the Company at the 2012 annual meeting of shareholders (the date on which such shareholder approval is obtained, the “Re-Approval Date”). The Plan shall remain in effect until terminated by action of the Board; provided, however, that no Incentive Stock Option (as defined below) may be granted hereunder after the tenth anniversary of the Re-Approval Date and the provisions of Articles VII and VIII with respect to the Performance Goals (as defined below) applicable to performance-based awards to “covered employees” under Section 162(m) of the Code (as defined below) shall expire as of the first shareholder meeting following the fifth anniversary of the Re-Approval Date unless such provisions are re-approved by the shareholders before such date.</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Plan, capitalized terms shall have the following meanings:</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2.01 Award </w:t>
      </w:r>
      <w:r>
        <w:rPr>
          <w:rFonts w:ascii="Arial" w:cs="Arial" w:eastAsia="Arial" w:hAnsi="Arial"/>
          <w:sz w:val="18"/>
          <w:szCs w:val="18"/>
          <w:color w:val="auto"/>
        </w:rPr>
        <w:t>means any grant to a Participant of one or a combination of Non-Qualified Stock Options, Incentive Stock Options,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described in Article VI, Restricted Shares or Restricted Units described in Article VII, Performance Awards described in Article VIII, other stock-based Awards described in Article IX and short-term cash incentive Awards described in Article X.</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2.02 Award Agreement </w:t>
      </w:r>
      <w:r>
        <w:rPr>
          <w:rFonts w:ascii="Arial" w:cs="Arial" w:eastAsia="Arial" w:hAnsi="Arial"/>
          <w:sz w:val="18"/>
          <w:szCs w:val="18"/>
          <w:color w:val="auto"/>
        </w:rPr>
        <w:t>means either (i) a written or electronic agreement entered into by the Company and a Participant setting forth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applicable to an Award granted under this Plan, including any amendment or modification thereof, or (ii)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 The Committee shall have the exclusive authority to determine the terms of an Award Agreement evidencing an Award granted under this Plan, subject to the provisions herein. The terms of an Award Agreement need not be uniform among all Participants or among similar types of Awards.</w:t>
      </w:r>
    </w:p>
    <w:p>
      <w:pPr>
        <w:spacing w:after="0" w:line="1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2.03 Award Period </w:t>
      </w:r>
      <w:r>
        <w:rPr>
          <w:rFonts w:ascii="Arial" w:cs="Arial" w:eastAsia="Arial" w:hAnsi="Arial"/>
          <w:sz w:val="18"/>
          <w:szCs w:val="18"/>
          <w:color w:val="auto"/>
        </w:rPr>
        <w:t>means, with respect to an Award, the period of time set forth in the Award Agreement during which specified target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must be achieved or other conditions set forth in the Award Agreement must be satisfied.</w:t>
      </w:r>
    </w:p>
    <w:p>
      <w:pPr>
        <w:spacing w:after="0" w:line="170"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i w:val="1"/>
          <w:iCs w:val="1"/>
          <w:color w:val="auto"/>
        </w:rPr>
        <w:t xml:space="preserve">2.04 Beneficiary </w:t>
      </w:r>
      <w:r>
        <w:rPr>
          <w:rFonts w:ascii="Arial" w:cs="Arial" w:eastAsia="Arial" w:hAnsi="Arial"/>
          <w:sz w:val="16"/>
          <w:szCs w:val="16"/>
          <w:color w:val="auto"/>
        </w:rPr>
        <w:t>means an individual, trust or estate who or which, by a written designation of the Participant filed with the Company or by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of law, succeeds to the rights and obligations of the Participant under the Plan and an Award Agreement upon the Participant’s death.</w:t>
      </w:r>
    </w:p>
    <w:p>
      <w:pPr>
        <w:sectPr>
          <w:pgSz w:w="11900" w:h="16838" w:orient="portrait"/>
          <w:cols w:equalWidth="0" w:num="1">
            <w:col w:w="11420"/>
          </w:cols>
          <w:pgMar w:left="240" w:top="364"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i w:val="1"/>
          <w:iCs w:val="1"/>
          <w:color w:val="auto"/>
        </w:rPr>
        <w:t xml:space="preserve">2.05 Board </w:t>
      </w:r>
      <w:r>
        <w:rPr>
          <w:rFonts w:ascii="Arial" w:cs="Arial" w:eastAsia="Arial" w:hAnsi="Arial"/>
          <w:sz w:val="18"/>
          <w:szCs w:val="18"/>
          <w:color w:val="auto"/>
        </w:rPr>
        <w:t>shall have the meaning given to such term in Section 1.02.</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i w:val="1"/>
          <w:iCs w:val="1"/>
          <w:color w:val="auto"/>
        </w:rPr>
        <w:t xml:space="preserve">2.06 Change in Control </w:t>
      </w:r>
      <w:r>
        <w:rPr>
          <w:rFonts w:ascii="Arial" w:cs="Arial" w:eastAsia="Arial" w:hAnsi="Arial"/>
          <w:sz w:val="16"/>
          <w:szCs w:val="16"/>
          <w:color w:val="auto"/>
        </w:rPr>
        <w:t>means (a) The acquisition by any individual, entity or group (within the meaning of Section 13(d)(3) or 14(d)(2)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 “Person”) of beneficial ownership (within the meaning of Rule 13d-3 promulgated under the Exchange Act) of 20%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Section 2.06(a), the following acquisitions shall not constitute a Change of Control: (i) any acquisition directly from the Company or any of its subsidiaries, (ii) any acquisition by the Company or any of its subsidiaries, (iii) any acquisition by any employee benefit plan (or related trust) sponsored or maintained by the Company or any Affiliate, (iv) any acquisition by a Person that is permitted to, and actually does, report its beneficial ownership on Schedule 13G (or any successor schedule); provided that, if such Person subsequently becomes required to or does report its beneficial ownership on Schedule 13D (or any successor schedule), then, for purposes of this paragraph, such Person shall be deemed to have first acquired, on the first date on which such Person becomes required to or does so report, beneficial ownership of all of the Outstanding Company Common Stock and Outstanding Company Voting Securities beneficially owned by it on such date or (v) any acquisition pursuant to a transaction that complies with Section 2.06 (c)(1), (c)(2) and (c)(3); or (b) Individuals who, as of December 2, 2004, constitute the Board (the “Incumbent Board”) cease for any reason to constitute at least a majority of the Board; provided, however, that any individual becoming a director subsequent to December 2, 2004 whose election, or nomination for election by the Company’s shareholders, was approved by a vote of at least two-thirds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(c) 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the Outstanding Company Common Stock and the Outstanding Company Voting Securities immediately prior to such Business Combination continue to represent (either by remaining outstanding or being converted into voting securities of the resulting or surviving entity or any parent thereof) more than 50%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(2) no Person (excluding any employee benefit plan (or related trust) of the Company or such corporation resulting from such Business Combination) beneficially owns, directly or indirectly,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(3) individuals who comprise the Incumbent Board immediately prior to such Business Combination constitute at least a majority of the members of the board of directors of the corporation resulting from such Business Combination (including, without limitation, a corporation that, as a result of such transaction, owns the Company or all or substantially of the Company’s assets either directly or through one or more subsidiaries); or (d) Approval by the shareholders of the Company of a complete liquidation or dissolution of the Company.</w:t>
      </w:r>
    </w:p>
    <w:p>
      <w:pPr>
        <w:spacing w:after="0" w:line="200" w:lineRule="exact"/>
        <w:rPr>
          <w:sz w:val="20"/>
          <w:szCs w:val="20"/>
          <w:color w:val="auto"/>
        </w:rPr>
      </w:pPr>
    </w:p>
    <w:p>
      <w:pPr>
        <w:spacing w:after="0" w:line="20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Notwithstanding the above, for each Award subject to Section 409A of the Code, a Change in Control shall be deemed to have occurred under this Plan with respect to such Award only if a change in the ownership or effective control of the Company or a change in the ownership of a substantial portion of the assets of the Company shall also be deemed to have occurred under Section 409A of the Code.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130" w:name="page131"/>
    <w:bookmarkEnd w:id="130"/>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2.07 Code </w:t>
      </w:r>
      <w:r>
        <w:rPr>
          <w:rFonts w:ascii="Arial" w:cs="Arial" w:eastAsia="Arial" w:hAnsi="Arial"/>
          <w:sz w:val="18"/>
          <w:szCs w:val="18"/>
          <w:color w:val="auto"/>
        </w:rPr>
        <w:t>means the Internal Revenue Code of 1986, as amended. References to a section of the Code include that section and any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or sections of any future legislation that amends, supplements or supersedes said section.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2.08 Committee </w:t>
      </w:r>
      <w:r>
        <w:rPr>
          <w:rFonts w:ascii="Arial" w:cs="Arial" w:eastAsia="Arial" w:hAnsi="Arial"/>
          <w:sz w:val="18"/>
          <w:szCs w:val="18"/>
          <w:color w:val="auto"/>
        </w:rPr>
        <w:t>means the Stock Option Committee of the Board or any successor committee that performs a similar function.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2.09 Company </w:t>
      </w:r>
      <w:r>
        <w:rPr>
          <w:rFonts w:ascii="Arial" w:cs="Arial" w:eastAsia="Arial" w:hAnsi="Arial"/>
          <w:sz w:val="18"/>
          <w:szCs w:val="18"/>
          <w:color w:val="auto"/>
        </w:rPr>
        <w:t>shall have the meaning given to such term in Section 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2.10 Common Stock </w:t>
      </w:r>
      <w:r>
        <w:rPr>
          <w:rFonts w:ascii="Arial" w:cs="Arial" w:eastAsia="Arial" w:hAnsi="Arial"/>
          <w:sz w:val="18"/>
          <w:szCs w:val="18"/>
          <w:color w:val="auto"/>
        </w:rPr>
        <w:t>means Common Stock of the Company.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2.11 Date of Grant </w:t>
      </w:r>
      <w:r>
        <w:rPr>
          <w:rFonts w:ascii="Arial" w:cs="Arial" w:eastAsia="Arial" w:hAnsi="Arial"/>
          <w:sz w:val="18"/>
          <w:szCs w:val="18"/>
          <w:color w:val="auto"/>
        </w:rPr>
        <w:t>means the date as of which the Committee grants an Award. If the Committee contemplates an immediate grant to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 shall be the date of the Committee’s action. If the Committee contemplates a date on which the grant is to be made other than the date of the Committee’s action, the Date of Grant shall be the date so contemplated and set forth in or determinable from the records of action of the Committee; provided, however, that the Date of Grant shall not precede the date of the Committee’s action.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2.12 </w:t>
      </w:r>
      <w:r>
        <w:rPr>
          <w:rFonts w:ascii="Arial" w:cs="Arial" w:eastAsia="Arial" w:hAnsi="Arial"/>
          <w:sz w:val="18"/>
          <w:szCs w:val="18"/>
          <w:color w:val="auto"/>
        </w:rPr>
        <w:t>[Intentionally omitted].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2.13 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2.14 Exercise Price </w:t>
      </w:r>
      <w:r>
        <w:rPr>
          <w:rFonts w:ascii="Arial" w:cs="Arial" w:eastAsia="Arial" w:hAnsi="Arial"/>
          <w:sz w:val="18"/>
          <w:szCs w:val="18"/>
          <w:color w:val="auto"/>
        </w:rPr>
        <w:t>shall have the meaning given to such term in Section 6.01(b).</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2.15 Fair Market Value </w:t>
      </w:r>
      <w:r>
        <w:rPr>
          <w:rFonts w:ascii="Arial" w:cs="Arial" w:eastAsia="Arial" w:hAnsi="Arial"/>
          <w:sz w:val="16"/>
          <w:szCs w:val="16"/>
          <w:color w:val="auto"/>
        </w:rPr>
        <w:t>means, unless otherwise determined by the Committee, the closing price of a share of Common Stock on the NASDAQ</w:t>
      </w:r>
      <w:r>
        <w:rPr>
          <w:rFonts w:ascii="Arial" w:cs="Arial" w:eastAsia="Arial" w:hAnsi="Arial"/>
          <w:sz w:val="16"/>
          <w:szCs w:val="16"/>
          <w:i w:val="1"/>
          <w:iCs w:val="1"/>
          <w:color w:val="auto"/>
        </w:rPr>
        <w:t xml:space="preserve"> </w:t>
      </w:r>
      <w:r>
        <w:rPr>
          <w:rFonts w:ascii="Arial" w:cs="Arial" w:eastAsia="Arial" w:hAnsi="Arial"/>
          <w:sz w:val="16"/>
          <w:szCs w:val="16"/>
          <w:color w:val="auto"/>
        </w:rPr>
        <w:t>Stock Market on the applicable date, except where local or other laws require a different definition. Such definition of Fair Market Value shall be specified in the Award Agreement and may differ depending on whether Fair Market Value is in reference to the grant, exercise, vesting, or settlement or payout of an Award. If shares of Common Stock are not traded on an established stock exchange, Fair Market Value shall be determined by the Committee in good faith.</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2.16 Incentive Stock Option </w:t>
      </w:r>
      <w:r>
        <w:rPr>
          <w:rFonts w:ascii="Arial" w:cs="Arial" w:eastAsia="Arial" w:hAnsi="Arial"/>
          <w:sz w:val="18"/>
          <w:szCs w:val="18"/>
          <w:color w:val="auto"/>
        </w:rPr>
        <w:t>means a stock option within the meaning of Section 422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2.17 Incumbent Board </w:t>
      </w:r>
      <w:r>
        <w:rPr>
          <w:rFonts w:ascii="Arial" w:cs="Arial" w:eastAsia="Arial" w:hAnsi="Arial"/>
          <w:sz w:val="18"/>
          <w:szCs w:val="18"/>
          <w:color w:val="auto"/>
        </w:rPr>
        <w:t>shall have the meaning given to such term in Section 2.06.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2.18 </w:t>
      </w:r>
      <w:r>
        <w:rPr>
          <w:rFonts w:ascii="Arial" w:cs="Arial" w:eastAsia="Arial" w:hAnsi="Arial"/>
          <w:sz w:val="18"/>
          <w:szCs w:val="18"/>
          <w:color w:val="auto"/>
        </w:rPr>
        <w:t>[Intentionally omitted].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2.19 Non-Qualified Stock Option </w:t>
      </w:r>
      <w:r>
        <w:rPr>
          <w:rFonts w:ascii="Arial" w:cs="Arial" w:eastAsia="Arial" w:hAnsi="Arial"/>
          <w:sz w:val="18"/>
          <w:szCs w:val="18"/>
          <w:color w:val="auto"/>
        </w:rPr>
        <w:t>means a stock option which is not an Incentive Stock Option.</w:t>
      </w:r>
    </w:p>
    <w:p>
      <w:pPr>
        <w:spacing w:after="0" w:line="225" w:lineRule="exact"/>
        <w:rPr>
          <w:sz w:val="20"/>
          <w:szCs w:val="20"/>
          <w:color w:val="auto"/>
        </w:rPr>
      </w:pPr>
    </w:p>
    <w:p>
      <w:pPr>
        <w:ind w:left="660" w:right="3760"/>
        <w:spacing w:after="0" w:line="277" w:lineRule="auto"/>
        <w:rPr>
          <w:sz w:val="20"/>
          <w:szCs w:val="20"/>
          <w:color w:val="auto"/>
        </w:rPr>
      </w:pPr>
      <w:r>
        <w:rPr>
          <w:rFonts w:ascii="Arial" w:cs="Arial" w:eastAsia="Arial" w:hAnsi="Arial"/>
          <w:sz w:val="18"/>
          <w:szCs w:val="18"/>
          <w:i w:val="1"/>
          <w:iCs w:val="1"/>
          <w:color w:val="auto"/>
        </w:rPr>
        <w:t xml:space="preserve">2.20 Options </w:t>
      </w:r>
      <w:r>
        <w:rPr>
          <w:rFonts w:ascii="Arial" w:cs="Arial" w:eastAsia="Arial" w:hAnsi="Arial"/>
          <w:sz w:val="18"/>
          <w:szCs w:val="18"/>
          <w:color w:val="auto"/>
        </w:rPr>
        <w:t>means all Non-Qualified Stock Options and Incentive Stock Options granted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under the Plan.</w:t>
      </w:r>
    </w:p>
    <w:p>
      <w:pPr>
        <w:spacing w:after="0" w:line="170" w:lineRule="exact"/>
        <w:rPr>
          <w:sz w:val="20"/>
          <w:szCs w:val="20"/>
          <w:color w:val="auto"/>
        </w:rPr>
      </w:pPr>
    </w:p>
    <w:p>
      <w:pPr>
        <w:ind w:left="660" w:right="3620"/>
        <w:spacing w:after="0" w:line="277" w:lineRule="auto"/>
        <w:rPr>
          <w:sz w:val="20"/>
          <w:szCs w:val="20"/>
          <w:color w:val="auto"/>
        </w:rPr>
      </w:pPr>
      <w:r>
        <w:rPr>
          <w:rFonts w:ascii="Arial" w:cs="Arial" w:eastAsia="Arial" w:hAnsi="Arial"/>
          <w:sz w:val="18"/>
          <w:szCs w:val="18"/>
          <w:i w:val="1"/>
          <w:iCs w:val="1"/>
          <w:color w:val="auto"/>
        </w:rPr>
        <w:t xml:space="preserve">2.21 Participant </w:t>
      </w:r>
      <w:r>
        <w:rPr>
          <w:rFonts w:ascii="Arial" w:cs="Arial" w:eastAsia="Arial" w:hAnsi="Arial"/>
          <w:sz w:val="18"/>
          <w:szCs w:val="18"/>
          <w:color w:val="auto"/>
        </w:rPr>
        <w:t>means a person designated to receive an Award under the Plan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2.22 Performance Awards </w:t>
      </w:r>
      <w:r>
        <w:rPr>
          <w:rFonts w:ascii="Arial" w:cs="Arial" w:eastAsia="Arial" w:hAnsi="Arial"/>
          <w:sz w:val="18"/>
          <w:szCs w:val="18"/>
          <w:color w:val="auto"/>
        </w:rPr>
        <w:t>means Awards granted in accordance with Article VIII.</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2.23 Performance Goals</w:t>
      </w:r>
      <w:r>
        <w:rPr>
          <w:rFonts w:ascii="Arial" w:cs="Arial" w:eastAsia="Arial" w:hAnsi="Arial"/>
          <w:sz w:val="16"/>
          <w:szCs w:val="16"/>
          <w:color w:val="auto"/>
        </w:rPr>
        <w:t>” means any of the following: revenue, economic value added (EVA), operating income, return on stockholders’ equity,</w:t>
      </w:r>
      <w:r>
        <w:rPr>
          <w:rFonts w:ascii="Arial" w:cs="Arial" w:eastAsia="Arial" w:hAnsi="Arial"/>
          <w:sz w:val="16"/>
          <w:szCs w:val="16"/>
          <w:i w:val="1"/>
          <w:iCs w:val="1"/>
          <w:color w:val="auto"/>
        </w:rPr>
        <w:t xml:space="preserve"> </w:t>
      </w:r>
      <w:r>
        <w:rPr>
          <w:rFonts w:ascii="Arial" w:cs="Arial" w:eastAsia="Arial" w:hAnsi="Arial"/>
          <w:sz w:val="16"/>
          <w:szCs w:val="16"/>
          <w:color w:val="auto"/>
        </w:rPr>
        <w:t>return on sales, stock price, earnings per share, earnings before interest, taxes, depreciation and amortization (EBITDA), cash flow, sales growth, margin improvement, income before taxes (IBT), IBT margin, return on investment, return on capital, return on assets, values of assets, market share, market penetration goals, personnel performance goals, business development goals (including without limitation regulatory submissions, product launches and other business development-related opportunities), regulatory compliance goals, international business expansion goals, customer retention goals, customer satisfaction goals, goals relating to acquisitions or divestitures, gross or operating margins, operating efficiency, working capital performance, earnings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8" w:right="259" w:bottom="1440" w:gutter="0" w:footer="0" w:header="0"/>
        </w:sectPr>
      </w:pPr>
    </w:p>
    <w:bookmarkStart w:id="131" w:name="page132"/>
    <w:bookmarkEnd w:id="131"/>
    <w:p>
      <w:pPr>
        <w:spacing w:after="0" w:line="291" w:lineRule="auto"/>
        <w:rPr>
          <w:sz w:val="20"/>
          <w:szCs w:val="20"/>
          <w:color w:val="auto"/>
        </w:rPr>
      </w:pPr>
      <w:r>
        <w:rPr>
          <w:rFonts w:ascii="Arial" w:cs="Arial" w:eastAsia="Arial" w:hAnsi="Arial"/>
          <w:sz w:val="16"/>
          <w:szCs w:val="16"/>
          <w:color w:val="auto"/>
        </w:rPr>
        <w:t>per share, growth in earnings per share, expense targets and/or productivity targets or ratios. Where applicable, the Performance Goals may be expressed in terms of attaining a specified level of the particular criteria, and may be applied to one or more of the Company, a subsidiary, or affiliate, or a division of or strategic business unit of the Company or may be applied to the performance of the Company relative to a market index, a group of other companies or a combination thereof, all as determined by the Committee. The Committee shall make equitable adjustments to Performance Goals in recognition of unusual or nonrecurring events affecting the Company or any subsidiary or affiliate or the financial statements of the Company or any subsidiary or affiliate,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2.24 Permanent Disability </w:t>
      </w:r>
      <w:r>
        <w:rPr>
          <w:rFonts w:ascii="Arial" w:cs="Arial" w:eastAsia="Arial" w:hAnsi="Arial"/>
          <w:sz w:val="18"/>
          <w:szCs w:val="18"/>
          <w:color w:val="auto"/>
        </w:rPr>
        <w:t>means the Participant is permanently and totally disabled within the meaning of Code Section 22(e)(3).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2.25 Plan </w:t>
      </w:r>
      <w:r>
        <w:rPr>
          <w:rFonts w:ascii="Arial" w:cs="Arial" w:eastAsia="Arial" w:hAnsi="Arial"/>
          <w:sz w:val="18"/>
          <w:szCs w:val="18"/>
          <w:color w:val="auto"/>
        </w:rPr>
        <w:t>shall have the meaning given to such term in Section 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2.26 Re-Approval Date </w:t>
      </w:r>
      <w:r>
        <w:rPr>
          <w:rFonts w:ascii="Arial" w:cs="Arial" w:eastAsia="Arial" w:hAnsi="Arial"/>
          <w:sz w:val="18"/>
          <w:szCs w:val="18"/>
          <w:color w:val="auto"/>
        </w:rPr>
        <w:t>shall have the meaning given to such term in Section 1.02.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2.27 Restricted Shares </w:t>
      </w:r>
      <w:r>
        <w:rPr>
          <w:rFonts w:ascii="Arial" w:cs="Arial" w:eastAsia="Arial" w:hAnsi="Arial"/>
          <w:sz w:val="18"/>
          <w:szCs w:val="18"/>
          <w:color w:val="auto"/>
        </w:rPr>
        <w:t>means Common Stock subject to restrictions imposed in connection with Awards granted under Article VII.</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2.28 Restricted Unit </w:t>
      </w:r>
      <w:r>
        <w:rPr>
          <w:rFonts w:ascii="Arial" w:cs="Arial" w:eastAsia="Arial" w:hAnsi="Arial"/>
          <w:sz w:val="18"/>
          <w:szCs w:val="18"/>
          <w:color w:val="auto"/>
        </w:rPr>
        <w:t>means units representing the right to receive Common Stock in the future subject to restrictions imposed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under Article VII.</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2.29 Retirement </w:t>
      </w:r>
      <w:r>
        <w:rPr>
          <w:rFonts w:ascii="Arial" w:cs="Arial" w:eastAsia="Arial" w:hAnsi="Arial"/>
          <w:sz w:val="18"/>
          <w:szCs w:val="18"/>
          <w:color w:val="auto"/>
        </w:rPr>
        <w:t>means a Participant’s termination of employment after the Participant has reached age 55 and accumulated at least 10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service with the Company; provided, however, that the Committee, in its sole discretion, may determine that a Participant has retired regardless of age and service with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2.30 Stock Appreciation Rights </w:t>
      </w:r>
      <w:r>
        <w:rPr>
          <w:rFonts w:ascii="Arial" w:cs="Arial" w:eastAsia="Arial" w:hAnsi="Arial"/>
          <w:sz w:val="18"/>
          <w:szCs w:val="18"/>
          <w:color w:val="auto"/>
        </w:rPr>
        <w:t>means Awards granted in accordance with Article 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2.31 Subsidiary </w:t>
      </w:r>
      <w:r>
        <w:rPr>
          <w:rFonts w:ascii="Arial" w:cs="Arial" w:eastAsia="Arial" w:hAnsi="Arial"/>
          <w:sz w:val="18"/>
          <w:szCs w:val="18"/>
          <w:color w:val="auto"/>
        </w:rPr>
        <w:t>means a subsidiary of the Company within the meaning of Section 424(f) of the Code.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3.01 Committee. </w:t>
      </w:r>
      <w:r>
        <w:rPr>
          <w:rFonts w:ascii="Arial" w:cs="Arial" w:eastAsia="Arial" w:hAnsi="Arial"/>
          <w:sz w:val="16"/>
          <w:szCs w:val="16"/>
          <w:color w:val="auto"/>
        </w:rPr>
        <w:t>The Plan shall be administered by the Committee. The Committee shall have exclusive and final authority in each determination,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or other action affecting the Plan and its Participants. The Committee shall have the sole discretionary authority to interpret the Plan, to establish and modify administrative rules for the Plan, to impose such conditions and restrictions on Awards as it determines appropriate, and to take such steps in connection with the Plan and Awards granted hereunder as it may deem necessary or advisable. The Committee may, subject to compliance with applicable legal requirements, with respect to Participants who are not subject to Section 16(b) of the Exchange Act or Section 162(m) of the Code, delegate such of its powers and authority under the Plan as it deems appropriate to a subcommittee or to designated officers or employees of the Company. In addition, the Board may exercise any of the authority conferred upon the Committee hereunder. In the event of any such delegation of authority or exercise of authority by the Board, references in the Plan to the Committee shall be deemed to refer to the delegate of the Committee or the Board, as the case may be.</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3.02 Indemnification. </w:t>
      </w:r>
      <w:r>
        <w:rPr>
          <w:rFonts w:ascii="Arial" w:cs="Arial" w:eastAsia="Arial" w:hAnsi="Arial"/>
          <w:sz w:val="18"/>
          <w:szCs w:val="18"/>
          <w:color w:val="auto"/>
        </w:rPr>
        <w:t>Each person who is or shall have been a member of the Board, or a Committee appointed by the Board, or an officer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whom authority was delegated in accordance with the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132" w:name="page133"/>
    <w:bookmarkEnd w:id="132"/>
    <w:p>
      <w:pPr>
        <w:ind w:right="20"/>
        <w:spacing w:after="0" w:line="272" w:lineRule="auto"/>
        <w:rPr>
          <w:sz w:val="20"/>
          <w:szCs w:val="20"/>
          <w:color w:val="auto"/>
        </w:rPr>
      </w:pPr>
      <w:r>
        <w:rPr>
          <w:rFonts w:ascii="Arial" w:cs="Arial" w:eastAsia="Arial" w:hAnsi="Arial"/>
          <w:sz w:val="17"/>
          <w:szCs w:val="17"/>
          <w:color w:val="auto"/>
        </w:rPr>
        <w:t>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provided, however, that the foregoing indemnification shall not apply to any loss, cost, liability, or expense that is a result of his or her own willful misconduct. The foregoing right of indemnification shall not be exclusive of any other rights of indemnification to which such persons may be entitled under the Company’s Certificate of Incorporation or Bylaws, conferred in a separate agreement with the Company, as a matter of law, or otherwise, or any power that the Company may have to indemnify them or hold them harmless.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27" w:lineRule="exact"/>
        <w:rPr>
          <w:sz w:val="20"/>
          <w:szCs w:val="20"/>
          <w:color w:val="auto"/>
        </w:rPr>
      </w:pPr>
    </w:p>
    <w:p>
      <w:pPr>
        <w:jc w:val="both"/>
        <w:ind w:right="60" w:firstLine="1297"/>
        <w:spacing w:after="0" w:line="302" w:lineRule="auto"/>
        <w:rPr>
          <w:sz w:val="20"/>
          <w:szCs w:val="20"/>
          <w:color w:val="auto"/>
        </w:rPr>
      </w:pPr>
      <w:r>
        <w:rPr>
          <w:rFonts w:ascii="Arial" w:cs="Arial" w:eastAsia="Arial" w:hAnsi="Arial"/>
          <w:sz w:val="16"/>
          <w:szCs w:val="16"/>
          <w:i w:val="1"/>
          <w:iCs w:val="1"/>
          <w:color w:val="auto"/>
        </w:rPr>
        <w:t xml:space="preserve">4.01 Number of Shares Issuable. </w:t>
      </w:r>
      <w:r>
        <w:rPr>
          <w:rFonts w:ascii="Arial" w:cs="Arial" w:eastAsia="Arial" w:hAnsi="Arial"/>
          <w:sz w:val="16"/>
          <w:szCs w:val="16"/>
          <w:color w:val="auto"/>
        </w:rPr>
        <w:t>The total number of shares of Common Stock authorized to be issued under the Plan shall be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of 55,300,000 shares (17,800,000 of which shall be subject to shareholder approval of the Plan on the Re-Approval Date and all of which may be granted as Incentive Stock Options). The foregoing share limitations shall be subject to adjustment in accordance with Section 11.08. The shares to be offered under the Plan shall be authorized and unissued shares of Common Stock, or issued shares of Common Stock which will have been reacquired by the Company.</w:t>
      </w:r>
    </w:p>
    <w:p>
      <w:pPr>
        <w:spacing w:after="0" w:line="154"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i w:val="1"/>
          <w:iCs w:val="1"/>
          <w:color w:val="auto"/>
        </w:rPr>
        <w:t xml:space="preserve">4.02 Shares Subject to Terminated Awards. </w:t>
      </w:r>
      <w:r>
        <w:rPr>
          <w:rFonts w:ascii="Arial" w:cs="Arial" w:eastAsia="Arial" w:hAnsi="Arial"/>
          <w:sz w:val="18"/>
          <w:szCs w:val="18"/>
          <w:color w:val="auto"/>
        </w:rPr>
        <w:t>Shares of Common Stock covered by any unexercised portions of terminated, cancelled or</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 Options or Stock Appreciation Rights granted under Article VI, terminated, cancelled or forfeited Restricted Units or Restricted Shares granted under Article VII and shares of Common Stock subject to any Award that are otherwise surrendered by a Participant (including in connection with the satisfaction of tax withholding obligations) or terminated may be subject to new Awards under the Plan. If any shares of Common Stock are withheld from those otherwise issuable or are tendered to the Company, by attestation or otherwise, in connection with the exercise of an Option, only the net number of shares of Common Stock issued as a result of such exercise shall be deemed delivered for purposes of determining the maximum number of shares available for delivery under the Plan.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PARTICIPATION</w:t>
      </w:r>
    </w:p>
    <w:p>
      <w:pPr>
        <w:spacing w:after="0" w:line="200" w:lineRule="exact"/>
        <w:rPr>
          <w:sz w:val="20"/>
          <w:szCs w:val="20"/>
          <w:color w:val="auto"/>
        </w:rPr>
      </w:pPr>
    </w:p>
    <w:p>
      <w:pPr>
        <w:spacing w:after="0" w:line="22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5.01 Eligible Participants. </w:t>
      </w:r>
      <w:r>
        <w:rPr>
          <w:rFonts w:ascii="Arial" w:cs="Arial" w:eastAsia="Arial" w:hAnsi="Arial"/>
          <w:sz w:val="16"/>
          <w:szCs w:val="16"/>
          <w:color w:val="auto"/>
        </w:rPr>
        <w:t>Participants in the Plan shall be such key employees, consultants, independent contractors and non-employee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its Subsidiaries as the Committee, in its sole discretion, may designate from time to time. The Committee’s designation of a Participant in any year shall not require the Committee to designate such person to receive Awards in any other year. The designation of a Participant to receive an Award under one portion of the Plan does not require the Committee to include such Participant under other portions of the Plan. The Committee shall consider such factors as it deems pertinent in selecting Participants and in determining the types and amounts of their respective Awards. The Committee may grant Awards from time to time on a discretionary basis and/or provide for automatic Awards on a formula basis to a Participant or designated group of Participants. Subject to adjustment in accordance with Section 11.08 and subject to limits on performance-based awards in Section 7.01, during any calendar year no Participant shall be granted Awards in respect of more than 1,600,000 shares of Common Stock (all of which may be granted as Options or Stock Appreciation Rights).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8" w:right="2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6.01 Option Awards.</w:t>
      </w:r>
    </w:p>
    <w:p>
      <w:pPr>
        <w:spacing w:after="0" w:line="225" w:lineRule="exact"/>
        <w:rPr>
          <w:sz w:val="20"/>
          <w:szCs w:val="20"/>
          <w:color w:val="auto"/>
        </w:rPr>
      </w:pPr>
    </w:p>
    <w:p>
      <w:pPr>
        <w:ind w:left="-40" w:right="300" w:firstLine="656"/>
        <w:spacing w:after="0" w:line="312" w:lineRule="auto"/>
        <w:tabs>
          <w:tab w:leader="none" w:pos="863"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Grant of Options. </w:t>
      </w:r>
      <w:r>
        <w:rPr>
          <w:rFonts w:ascii="Arial" w:cs="Arial" w:eastAsia="Arial" w:hAnsi="Arial"/>
          <w:sz w:val="16"/>
          <w:szCs w:val="16"/>
          <w:color w:val="auto"/>
        </w:rPr>
        <w:t>The Committee may grant, to such Participants as the Committee may select, Options entitling the Participants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from the Company in such numbers, at such prices, and on such terms and subject to such conditions, not inconsistent with the terms of the Plan, as may be established by the Committee. The terms of any Option granted under the Plan shall be set forth in an Award Agreement.</w:t>
      </w:r>
    </w:p>
    <w:p>
      <w:pPr>
        <w:spacing w:after="0" w:line="146" w:lineRule="exact"/>
        <w:rPr>
          <w:rFonts w:ascii="Arial" w:cs="Arial" w:eastAsia="Arial" w:hAnsi="Arial"/>
          <w:sz w:val="16"/>
          <w:szCs w:val="16"/>
          <w:i w:val="1"/>
          <w:iCs w:val="1"/>
          <w:color w:val="auto"/>
        </w:rPr>
      </w:pPr>
    </w:p>
    <w:p>
      <w:pPr>
        <w:ind w:left="-40" w:firstLine="656"/>
        <w:spacing w:after="0" w:line="255" w:lineRule="auto"/>
        <w:tabs>
          <w:tab w:leader="none" w:pos="863"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Exercise Price of Options. </w:t>
      </w:r>
      <w:r>
        <w:rPr>
          <w:rFonts w:ascii="Arial" w:cs="Arial" w:eastAsia="Arial" w:hAnsi="Arial"/>
          <w:sz w:val="18"/>
          <w:szCs w:val="18"/>
          <w:color w:val="auto"/>
        </w:rPr>
        <w:t>The exercise price of each share of Common Stock which may be purchased upon exercise of any Option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(the “Exercise Price”) shall be determined by the Committee; provided, however, that, except in the case of any substituted Options described in Section 11.08(c) (provided that the grant of a substitute Option is made in a manner that will not result in the substitute Option being subject to the requirements of Section 409A of the Code), the Exercise Price shall in all cases be equal to or greater than the Fair Market Value on the Date of Grant. Except for adjustments pursuant to Section 11.08 or any action approved by the shareholders of the Company, the Exercise Price for any outstanding Option granted under the Plan may not be decreased after the Date of Grant.</w:t>
      </w:r>
    </w:p>
    <w:p>
      <w:pPr>
        <w:spacing w:after="0" w:line="193" w:lineRule="exact"/>
        <w:rPr>
          <w:rFonts w:ascii="Arial" w:cs="Arial" w:eastAsia="Arial" w:hAnsi="Arial"/>
          <w:sz w:val="18"/>
          <w:szCs w:val="18"/>
          <w:i w:val="1"/>
          <w:iCs w:val="1"/>
          <w:color w:val="auto"/>
        </w:rPr>
      </w:pPr>
    </w:p>
    <w:p>
      <w:pPr>
        <w:ind w:left="-40" w:right="80" w:firstLine="656"/>
        <w:spacing w:after="0" w:line="286" w:lineRule="auto"/>
        <w:tabs>
          <w:tab w:leader="none" w:pos="853"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Designation of Options. </w:t>
      </w:r>
      <w:r>
        <w:rPr>
          <w:rFonts w:ascii="Arial" w:cs="Arial" w:eastAsia="Arial" w:hAnsi="Arial"/>
          <w:sz w:val="17"/>
          <w:szCs w:val="17"/>
          <w:color w:val="auto"/>
        </w:rPr>
        <w:t>Except as otherwise expressly provided in the Plan, the Committee may designate, at the time of the grant of an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such Option as an Incentive Stock Option or a Non-Qualified Stock Option; provided, however, that an Option may be designated as an Incentive Stock Option only if the applicable Participant is an employee of the Company or a Subsidiary on the Date of Grant.</w:t>
      </w:r>
    </w:p>
    <w:p>
      <w:pPr>
        <w:spacing w:after="0" w:line="165" w:lineRule="exact"/>
        <w:rPr>
          <w:rFonts w:ascii="Arial" w:cs="Arial" w:eastAsia="Arial" w:hAnsi="Arial"/>
          <w:sz w:val="17"/>
          <w:szCs w:val="17"/>
          <w:i w:val="1"/>
          <w:iCs w:val="1"/>
          <w:color w:val="auto"/>
        </w:rPr>
      </w:pPr>
    </w:p>
    <w:p>
      <w:pPr>
        <w:ind w:left="-40" w:firstLine="656"/>
        <w:spacing w:after="0" w:line="271" w:lineRule="auto"/>
        <w:tabs>
          <w:tab w:leader="none" w:pos="863"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Special Incentive Stock Option Rules. </w:t>
      </w:r>
      <w:r>
        <w:rPr>
          <w:rFonts w:ascii="Arial" w:cs="Arial" w:eastAsia="Arial" w:hAnsi="Arial"/>
          <w:sz w:val="17"/>
          <w:szCs w:val="17"/>
          <w:color w:val="auto"/>
        </w:rPr>
        <w:t>No Participant may be granted Incentive Stock Options under the Plan (or any other plans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Subsidiaries) that would result in Incentive Stock Options to purchase shares of Common Stock with an aggregate Fair Market Value (measured on the Date of Grant) of more than $100,000 first becoming exercisable by such Participant in any one calendar year. Notwithstanding any other provision of the Plan to the contrary, no Incentive Stock Option shall be granted to any person who, at the time the Option is granted, owns stock (including stock owned by application of the constructive ownership rules in Section 424(d) of the Code) possessing more than 10% of the total combined voting power of all classes of stock of the Company or any Subsidiary, unless at the time the Incentive Stock Option is granted the Exercise Price is at least 110% of the Fair Market Value on the Date of Grant of the Common Stock subject to the Incentive Stock Option and the Incentive Stock Option by its terms is not exercisable for more than five (5) years from the Date of Grant.</w:t>
      </w:r>
    </w:p>
    <w:p>
      <w:pPr>
        <w:spacing w:after="0" w:line="178" w:lineRule="exact"/>
        <w:rPr>
          <w:rFonts w:ascii="Arial" w:cs="Arial" w:eastAsia="Arial" w:hAnsi="Arial"/>
          <w:sz w:val="17"/>
          <w:szCs w:val="17"/>
          <w:i w:val="1"/>
          <w:iCs w:val="1"/>
          <w:color w:val="auto"/>
        </w:rPr>
      </w:pPr>
    </w:p>
    <w:p>
      <w:pPr>
        <w:ind w:left="-40" w:right="80" w:firstLine="656"/>
        <w:spacing w:after="0" w:line="276" w:lineRule="auto"/>
        <w:tabs>
          <w:tab w:leader="none" w:pos="853"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Rights as a Stockholder. </w:t>
      </w:r>
      <w:r>
        <w:rPr>
          <w:rFonts w:ascii="Arial" w:cs="Arial" w:eastAsia="Arial" w:hAnsi="Arial"/>
          <w:sz w:val="17"/>
          <w:szCs w:val="17"/>
          <w:color w:val="auto"/>
        </w:rPr>
        <w:t>A Participant or a transferee of an Option pursuant to Section 11.04 shall have no rights as a stockholder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of Common Stock covered by an Option until that Participant or transferee shall have become the holder of record of any such shares, and no adjustment shall be made with respect to any such shares of Common Stock for dividends in cash or other property or distributions of other rights on the Common Stock for which the record date is prior to the date on which that Participant or transferee shall have become the holder of record of any shares covered by such Option; provided, however, that Participants are entitled to the adjustments set forth in Section 11.08.</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6.02 Stock Appreciation Rights.</w:t>
      </w:r>
    </w:p>
    <w:p>
      <w:pPr>
        <w:spacing w:after="0" w:line="225" w:lineRule="exact"/>
        <w:rPr>
          <w:sz w:val="20"/>
          <w:szCs w:val="20"/>
          <w:color w:val="auto"/>
        </w:rPr>
      </w:pPr>
    </w:p>
    <w:p>
      <w:pPr>
        <w:ind w:left="-40" w:right="120" w:firstLine="656"/>
        <w:spacing w:after="0" w:line="273" w:lineRule="auto"/>
        <w:tabs>
          <w:tab w:leader="none" w:pos="863" w:val="left"/>
        </w:tabs>
        <w:numPr>
          <w:ilvl w:val="0"/>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Appreciation Right Awards. </w:t>
      </w:r>
      <w:r>
        <w:rPr>
          <w:rFonts w:ascii="Arial" w:cs="Arial" w:eastAsia="Arial" w:hAnsi="Arial"/>
          <w:sz w:val="17"/>
          <w:szCs w:val="17"/>
          <w:color w:val="auto"/>
        </w:rPr>
        <w:t>The Committee is authorized to grant to any Participant one or more Stock Appreciation Rights. Such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may be granted either independent of or in tandem with Options granted to the same Participant. Stock Appreciation Rights granted in tandem with Options may be granted simultaneously with, or, in the case of Non-Qualified Stock Options, subsequent to, the grant to such Participant of the related Option; provided, however, that: (i) any Option covering any share of Common Stock shall expire and not be exercisable upon the exercise of any Stock Appreciation Right with respect to the same share, (ii) any Stock Appreciation Right covering any share of Common Stock shall expire and not be exercisable upon the exercise of any related Option with respect to the same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368" w:right="279" w:bottom="1440" w:gutter="0" w:footer="0" w:header="0"/>
        </w:sectPr>
      </w:pPr>
    </w:p>
    <w:bookmarkStart w:id="134" w:name="page135"/>
    <w:bookmarkEnd w:id="134"/>
    <w:p>
      <w:pPr>
        <w:ind w:right="140"/>
        <w:spacing w:after="0" w:line="259" w:lineRule="auto"/>
        <w:rPr>
          <w:sz w:val="20"/>
          <w:szCs w:val="20"/>
          <w:color w:val="auto"/>
        </w:rPr>
      </w:pPr>
      <w:r>
        <w:rPr>
          <w:rFonts w:ascii="Arial" w:cs="Arial" w:eastAsia="Arial" w:hAnsi="Arial"/>
          <w:sz w:val="18"/>
          <w:szCs w:val="18"/>
          <w:color w:val="auto"/>
        </w:rPr>
        <w:t>share, and (iii) an Option and Stock Appreciation Right covering the same share of Common Stock may not be exercised simultaneously. Upon exercise of a Stock Appreciation Right with respect to a share of Common Stock, the Participant shall be entitled to receive an amount equal to the excess, if any, of (A) the Fair Market Value of a share of Common Stock on the date of exercise over (B) the Exercise Price of such Stock Appreciation Right established in the Award Agreement, which amount shall be payable as provided in Section 6.02(c).</w:t>
      </w:r>
    </w:p>
    <w:p>
      <w:pPr>
        <w:spacing w:after="0" w:line="187" w:lineRule="exact"/>
        <w:rPr>
          <w:sz w:val="20"/>
          <w:szCs w:val="20"/>
          <w:color w:val="auto"/>
        </w:rPr>
      </w:pPr>
    </w:p>
    <w:p>
      <w:pPr>
        <w:ind w:firstLine="656"/>
        <w:spacing w:after="0" w:line="291" w:lineRule="auto"/>
        <w:tabs>
          <w:tab w:leader="none" w:pos="903"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Exercise Price established under any Stock Appreciation Right granted under this Plan shall be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however, that, except in the case of any substituted Awards described in Section 11.08(c) (provided that the grant of the substitute Award is made in a manner that will not result in the substitute Award being subject to the requirements of Section 409A of the Code), the Exercise Price shall in all cases be equal to or greater than the Fair Market Value on the Date of Grant; provided further, however, that in the case of Stock Appreciation Rights granted in tandem with Options the Exercise Price of the Stock Appreciation Right shall not be less than the Exercise Price of the related Option. Upon exercise of Stock Appreciation Rights, the number of shares subject to exercise under any related Option shall automatically be reduced by the number of shares of Common Stock represented by the Option or portion thereof which are surrendered as a result of the exercise of such Stock Appreciation Rights.</w:t>
      </w:r>
    </w:p>
    <w:p>
      <w:pPr>
        <w:spacing w:after="0" w:line="167" w:lineRule="exact"/>
        <w:rPr>
          <w:rFonts w:ascii="Arial" w:cs="Arial" w:eastAsia="Arial" w:hAnsi="Arial"/>
          <w:sz w:val="16"/>
          <w:szCs w:val="16"/>
          <w:i w:val="1"/>
          <w:iCs w:val="1"/>
          <w:color w:val="auto"/>
        </w:rPr>
      </w:pPr>
    </w:p>
    <w:p>
      <w:pPr>
        <w:ind w:right="20" w:firstLine="656"/>
        <w:spacing w:after="0" w:line="255" w:lineRule="auto"/>
        <w:tabs>
          <w:tab w:leader="none" w:pos="893"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 of Incremental Value. </w:t>
      </w:r>
      <w:r>
        <w:rPr>
          <w:rFonts w:ascii="Arial" w:cs="Arial" w:eastAsia="Arial" w:hAnsi="Arial"/>
          <w:sz w:val="18"/>
          <w:szCs w:val="18"/>
          <w:color w:val="auto"/>
        </w:rPr>
        <w:t>Any payment which may become due from the Company by reason of a Participant’s exercise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may be paid to the Participant as determined by the Committee (i) all in cash, (ii) all in Common Stock, or (iii) in any combination of cash and Common Stock. In the event that all or a portion of the payment is made in Common Stock, the number of shares of Common Stock delivered in satisfaction of such payment shall be determined by dividing the amount of such payment or portion thereof by the Fair Market Value on the Exercise Date. No fractional share of Common Stock shall be issued to make any payment in respect of Stock Appreciation Rights; if any fractional share would be issuable, the combination of cash and Common Stock payable to the Participant shall be adjusted as directed by the Committee to avoid the issuance of any fractional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6.03 Terms of Stock Options and Stock Appreciation Rights</w:t>
      </w:r>
    </w:p>
    <w:p>
      <w:pPr>
        <w:spacing w:after="0" w:line="225" w:lineRule="exact"/>
        <w:rPr>
          <w:sz w:val="20"/>
          <w:szCs w:val="20"/>
          <w:color w:val="auto"/>
        </w:rPr>
      </w:pPr>
    </w:p>
    <w:p>
      <w:pPr>
        <w:ind w:right="40" w:firstLine="656"/>
        <w:spacing w:after="0" w:line="342" w:lineRule="auto"/>
        <w:tabs>
          <w:tab w:leader="none" w:pos="903"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Conditions on Exercise. </w:t>
      </w:r>
      <w:r>
        <w:rPr>
          <w:rFonts w:ascii="Arial" w:cs="Arial" w:eastAsia="Arial" w:hAnsi="Arial"/>
          <w:sz w:val="16"/>
          <w:szCs w:val="16"/>
          <w:color w:val="auto"/>
        </w:rPr>
        <w:t>An Award Agreement with respect to Options and Stock Appreciation Rights may contain such waiting periods,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dates and restrictions on exercise (including, but not limited to, periodic installments) as may be determined by the Committee at the time of grant.</w:t>
      </w:r>
    </w:p>
    <w:p>
      <w:pPr>
        <w:spacing w:after="0" w:line="123" w:lineRule="exact"/>
        <w:rPr>
          <w:rFonts w:ascii="Arial" w:cs="Arial" w:eastAsia="Arial" w:hAnsi="Arial"/>
          <w:sz w:val="16"/>
          <w:szCs w:val="16"/>
          <w:i w:val="1"/>
          <w:iCs w:val="1"/>
          <w:color w:val="auto"/>
        </w:rPr>
      </w:pPr>
    </w:p>
    <w:p>
      <w:pPr>
        <w:ind w:right="720" w:firstLine="656"/>
        <w:spacing w:after="0" w:line="277" w:lineRule="auto"/>
        <w:tabs>
          <w:tab w:leader="none" w:pos="903"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Duration of Options and Stock Appreciation Rights. </w:t>
      </w:r>
      <w:r>
        <w:rPr>
          <w:rFonts w:ascii="Arial" w:cs="Arial" w:eastAsia="Arial" w:hAnsi="Arial"/>
          <w:sz w:val="18"/>
          <w:szCs w:val="18"/>
          <w:color w:val="auto"/>
        </w:rPr>
        <w:t>Options and Stock Appreciation Rights shall terminate after the first to occur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events:</w:t>
      </w:r>
    </w:p>
    <w:p>
      <w:pPr>
        <w:spacing w:after="0" w:line="170"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Expiration of the Option and Stock Appreciation Rights as provided in the related Award Agreement;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Termination of the Award as provided in Section 6.03(e) following the Participant’s Termination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Employment; 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 Ten years from the Date of Grant.</w:t>
      </w:r>
    </w:p>
    <w:p>
      <w:pPr>
        <w:spacing w:after="0" w:line="225" w:lineRule="exact"/>
        <w:rPr>
          <w:sz w:val="20"/>
          <w:szCs w:val="20"/>
          <w:color w:val="auto"/>
        </w:rPr>
      </w:pPr>
    </w:p>
    <w:p>
      <w:pPr>
        <w:jc w:val="both"/>
        <w:ind w:right="240" w:firstLine="656"/>
        <w:spacing w:after="0" w:line="264" w:lineRule="auto"/>
        <w:tabs>
          <w:tab w:leader="none" w:pos="893"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Acceleration of Exercise Time. </w:t>
      </w:r>
      <w:r>
        <w:rPr>
          <w:rFonts w:ascii="Arial" w:cs="Arial" w:eastAsia="Arial" w:hAnsi="Arial"/>
          <w:sz w:val="18"/>
          <w:szCs w:val="18"/>
          <w:color w:val="auto"/>
        </w:rPr>
        <w:t>The Committee, in its sole discretion, shall have the right (but shall not in any case be obligated), exercisable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after the Date of Grant, to permit the exercise of any Option and Stock Appreciation Rights prior to the time such Option and Stock Appreciation Rights would otherwise become exercisable under the terms of the related Award Agreement.</w:t>
      </w:r>
    </w:p>
    <w:p>
      <w:pPr>
        <w:spacing w:after="0" w:line="181" w:lineRule="exact"/>
        <w:rPr>
          <w:rFonts w:ascii="Arial" w:cs="Arial" w:eastAsia="Arial" w:hAnsi="Arial"/>
          <w:sz w:val="18"/>
          <w:szCs w:val="18"/>
          <w:i w:val="1"/>
          <w:iCs w:val="1"/>
          <w:color w:val="auto"/>
        </w:rPr>
      </w:pPr>
    </w:p>
    <w:p>
      <w:pPr>
        <w:ind w:right="120" w:firstLine="656"/>
        <w:spacing w:after="0" w:line="259" w:lineRule="auto"/>
        <w:tabs>
          <w:tab w:leader="none" w:pos="903"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Extension of Exercise Time. </w:t>
      </w:r>
      <w:r>
        <w:rPr>
          <w:rFonts w:ascii="Arial" w:cs="Arial" w:eastAsia="Arial" w:hAnsi="Arial"/>
          <w:sz w:val="18"/>
          <w:szCs w:val="18"/>
          <w:color w:val="auto"/>
        </w:rPr>
        <w:t>In addition to the extensions permitted under Section 6.03(e) in the event of Termination of Employment,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sole discretion, shall have the right (but shall not in any case be obligated), exercisable on or at any time after the Date of Grant, to permit the exercise of any Option or Stock Appreciation Right after its expiration date described in Section 6.03(e), subject, however, to the limitations described in Sections 6.03(b)(i) and (iii).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i w:val="1"/>
          <w:iCs w:val="1"/>
          <w:color w:val="auto"/>
        </w:rPr>
        <w:t>(e) Exercise of Options and Stock Appreciation Rights Upon Termination of Services.</w:t>
      </w:r>
    </w:p>
    <w:p>
      <w:pPr>
        <w:spacing w:after="0" w:line="225" w:lineRule="exact"/>
        <w:rPr>
          <w:sz w:val="20"/>
          <w:szCs w:val="20"/>
          <w:color w:val="auto"/>
        </w:rPr>
      </w:pPr>
    </w:p>
    <w:p>
      <w:pPr>
        <w:ind w:firstLine="656"/>
        <w:spacing w:after="0" w:line="255" w:lineRule="auto"/>
        <w:tabs>
          <w:tab w:leader="none" w:pos="863"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If a Participant who is an employee of the Corporation or its subsidiaries shall die (A) while an employee of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 within two (2) years after termination of the Participant’s employment with the Company or its Subsidiaries because of the Participant’s Permanent Disability, any Option and Stock Appreciation Right then held by the Participant, regardless of whether it was otherwise exercisable on the date of death, may be exercised by the person or persons to whom the Participant’s rights under the Option and Stock Appreciation Right pass by will or applicable law or if no person has the right, by the Participant’s executors or administrators, at any time or from time to time, during the balance of the exercise period as set forth in Section 6.03(b)(iii).</w:t>
      </w:r>
    </w:p>
    <w:p>
      <w:pPr>
        <w:spacing w:after="0" w:line="193" w:lineRule="exact"/>
        <w:rPr>
          <w:rFonts w:ascii="Arial" w:cs="Arial" w:eastAsia="Arial" w:hAnsi="Arial"/>
          <w:sz w:val="18"/>
          <w:szCs w:val="18"/>
          <w:i w:val="1"/>
          <w:iCs w:val="1"/>
          <w:color w:val="auto"/>
        </w:rPr>
      </w:pPr>
    </w:p>
    <w:p>
      <w:pPr>
        <w:ind w:right="20" w:firstLine="656"/>
        <w:spacing w:after="0" w:line="259" w:lineRule="auto"/>
        <w:tabs>
          <w:tab w:leader="none" w:pos="913"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Permanent Disability. </w:t>
      </w:r>
      <w:r>
        <w:rPr>
          <w:rFonts w:ascii="Arial" w:cs="Arial" w:eastAsia="Arial" w:hAnsi="Arial"/>
          <w:sz w:val="18"/>
          <w:szCs w:val="18"/>
          <w:color w:val="auto"/>
        </w:rPr>
        <w:t>If a Participant’s employment by the Company or its Subsidiaries shall terminate because of Permanent Disability,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may exercise any Option and Stock Appreciation Right then held by the Participant, regardless of whether it was otherwise exercisable on the date of such termination of employment, at any time, or from time to time, within two (2) years of the date of the termination of employment, but in no event later than the expiration date specified in Section 6.03(b)(iii).</w:t>
      </w:r>
    </w:p>
    <w:p>
      <w:pPr>
        <w:spacing w:after="0" w:line="186" w:lineRule="exact"/>
        <w:rPr>
          <w:rFonts w:ascii="Arial" w:cs="Arial" w:eastAsia="Arial" w:hAnsi="Arial"/>
          <w:sz w:val="18"/>
          <w:szCs w:val="18"/>
          <w:i w:val="1"/>
          <w:iCs w:val="1"/>
          <w:color w:val="auto"/>
        </w:rPr>
      </w:pPr>
    </w:p>
    <w:p>
      <w:pPr>
        <w:ind w:firstLine="656"/>
        <w:spacing w:after="0" w:line="255" w:lineRule="auto"/>
        <w:tabs>
          <w:tab w:leader="none" w:pos="963"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If a Participant’s employment by the Company or its Subsidiaries shall terminate because of Retirement, any Option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then held by the Participant, regardless of whether it was otherwise exercisable on the date of Retirement, may be exercised by the Participant at any time, or from time to time, during the balance of the exercise period as set forth in Section 6.03(b)(iii). If such a Participant dies after Retirement but before such Participant’s Options have either been exercised or otherwise expired, such Options may be exercised by the person to whom such options pass by will or applicable law or, if no person has that right, by the Participant’s executors or administrators at any time, or from time to time, during the balance of the exercise period set forth in Section 6.03(b)(iii).</w:t>
      </w:r>
    </w:p>
    <w:p>
      <w:pPr>
        <w:spacing w:after="0" w:line="193" w:lineRule="exact"/>
        <w:rPr>
          <w:rFonts w:ascii="Arial" w:cs="Arial" w:eastAsia="Arial" w:hAnsi="Arial"/>
          <w:sz w:val="18"/>
          <w:szCs w:val="18"/>
          <w:i w:val="1"/>
          <w:iCs w:val="1"/>
          <w:color w:val="auto"/>
        </w:rPr>
      </w:pPr>
    </w:p>
    <w:p>
      <w:pPr>
        <w:ind w:right="140" w:firstLine="656"/>
        <w:spacing w:after="0" w:line="257" w:lineRule="auto"/>
        <w:tabs>
          <w:tab w:leader="none" w:pos="943" w:val="left"/>
        </w:tabs>
        <w:numPr>
          <w:ilvl w:val="1"/>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Reduction in Force. </w:t>
      </w:r>
      <w:r>
        <w:rPr>
          <w:rFonts w:ascii="Arial" w:cs="Arial" w:eastAsia="Arial" w:hAnsi="Arial"/>
          <w:sz w:val="18"/>
          <w:szCs w:val="18"/>
          <w:color w:val="auto"/>
        </w:rPr>
        <w:t>Unless a date of re-employment is identified at the time of a termination of employment that is the result of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force, any Options and Stock Appreciation Rights held by the Participant that are not exercisable at the date of such termination of employment shall terminate and be cancelled immediately upon such termination, and the Participant may exercise any Options and Stock Appreciation Rights that are exercisable as of the date of such termination at any time, or from time to time, within one (1) year of the date of such termination, but in no event later than the expiration date specified in Section 6.03(b)(iii).</w:t>
      </w:r>
    </w:p>
    <w:p>
      <w:pPr>
        <w:spacing w:after="0" w:line="188" w:lineRule="exact"/>
        <w:rPr>
          <w:rFonts w:ascii="Arial" w:cs="Arial" w:eastAsia="Arial" w:hAnsi="Arial"/>
          <w:sz w:val="18"/>
          <w:szCs w:val="18"/>
          <w:i w:val="1"/>
          <w:iCs w:val="1"/>
          <w:color w:val="auto"/>
        </w:rPr>
      </w:pPr>
    </w:p>
    <w:p>
      <w:pPr>
        <w:ind w:right="80" w:firstLine="656"/>
        <w:spacing w:after="0" w:line="286" w:lineRule="auto"/>
        <w:tabs>
          <w:tab w:leader="none" w:pos="893" w:val="left"/>
        </w:tabs>
        <w:numPr>
          <w:ilvl w:val="1"/>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Termination. </w:t>
      </w:r>
      <w:r>
        <w:rPr>
          <w:rFonts w:ascii="Arial" w:cs="Arial" w:eastAsia="Arial" w:hAnsi="Arial"/>
          <w:sz w:val="16"/>
          <w:szCs w:val="16"/>
          <w:color w:val="auto"/>
        </w:rPr>
        <w:t>Except as provided by paragraphs (i) through (iv) of this Section 6.03(e), if a Participant’s employment shall cease by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of a voluntary or involuntary termination, either with or without cause, any Options and Stock Appreciation Rights held by the Participant that are not exercisable at the date of such termination of employment shall terminate and be cancelled immediately upon such termination, and the Participant may exercise any Options and Stock Appreciation Rights that are exercisable as of the date of such termination at any time, or from time to time, until the later of</w:t>
      </w:r>
    </w:p>
    <w:p>
      <w:pPr>
        <w:spacing w:after="0" w:line="1" w:lineRule="exact"/>
        <w:rPr>
          <w:rFonts w:ascii="Arial" w:cs="Arial" w:eastAsia="Arial" w:hAnsi="Arial"/>
          <w:sz w:val="16"/>
          <w:szCs w:val="16"/>
          <w:i w:val="1"/>
          <w:iCs w:val="1"/>
          <w:color w:val="auto"/>
        </w:rPr>
      </w:pPr>
    </w:p>
    <w:p>
      <w:pPr>
        <w:ind w:right="100" w:firstLine="8"/>
        <w:spacing w:after="0" w:line="255" w:lineRule="auto"/>
        <w:tabs>
          <w:tab w:leader="none" w:pos="2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thirty (30) days after such Participant’s termination of employment or (B) thirty (30) days after the Participant receives notice from the Committee of the termination of the Participant’s Options and Stock Appreciation Rights. Notwithstanding the prior sentence no portion of such Options and Stock Appreciation Rights shall be exercisable later than the expiration date specified in Section 6.03(b)(iii).</w:t>
      </w:r>
    </w:p>
    <w:p>
      <w:pPr>
        <w:spacing w:after="0" w:line="190" w:lineRule="exact"/>
        <w:rPr>
          <w:rFonts w:ascii="Arial" w:cs="Arial" w:eastAsia="Arial" w:hAnsi="Arial"/>
          <w:sz w:val="18"/>
          <w:szCs w:val="18"/>
          <w:color w:val="auto"/>
        </w:rPr>
      </w:pPr>
    </w:p>
    <w:p>
      <w:pPr>
        <w:ind w:right="360" w:firstLine="656"/>
        <w:spacing w:after="0" w:line="264" w:lineRule="auto"/>
        <w:tabs>
          <w:tab w:leader="none" w:pos="943" w:val="left"/>
        </w:tabs>
        <w:numPr>
          <w:ilvl w:val="1"/>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Grants to Non-Employees. </w:t>
      </w:r>
      <w:r>
        <w:rPr>
          <w:rFonts w:ascii="Arial" w:cs="Arial" w:eastAsia="Arial" w:hAnsi="Arial"/>
          <w:sz w:val="18"/>
          <w:szCs w:val="18"/>
          <w:color w:val="auto"/>
        </w:rPr>
        <w:t>In the case of grants to persons who are not employees of the Company or any of its Subsidiaries,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shall establish, and set forth in the applicable Award Agreement, rules for determining the effect of termination of the Participant’s services on the Participant’s outstanding Options and Stock Appreciation Rights.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6.04 Option Exercise Procedures. </w:t>
      </w:r>
      <w:r>
        <w:rPr>
          <w:rFonts w:ascii="Arial" w:cs="Arial" w:eastAsia="Arial" w:hAnsi="Arial"/>
          <w:sz w:val="18"/>
          <w:szCs w:val="18"/>
          <w:color w:val="auto"/>
        </w:rPr>
        <w:t>Each Option and Stock Appreciation Right granted under the Plan shall be exercised by written notice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which must be received by the officer or employee of the Company designated in the Award Agreement at or before the close of business on the expiration date of the Award. The Exercise Price of shares purchased upon exercise of an Option granted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136" w:name="page137"/>
    <w:bookmarkEnd w:id="136"/>
    <w:p>
      <w:pPr>
        <w:ind w:right="60"/>
        <w:spacing w:after="0" w:line="287" w:lineRule="auto"/>
        <w:rPr>
          <w:sz w:val="20"/>
          <w:szCs w:val="20"/>
          <w:color w:val="auto"/>
        </w:rPr>
      </w:pPr>
      <w:r>
        <w:rPr>
          <w:rFonts w:ascii="Arial" w:cs="Arial" w:eastAsia="Arial" w:hAnsi="Arial"/>
          <w:sz w:val="16"/>
          <w:szCs w:val="16"/>
          <w:color w:val="auto"/>
        </w:rPr>
        <w:t>under the Plan shall be paid in full in cash by the Participant pursuant to the Award Agreement; provided, however, that in lieu of such cash a Participant may pay the Exercise Price in whole or in part by delivering (actually or by attestation) to the Company shares of the Common Stock having a Fair Market Value on the date of exercise of the Option equal to the Exercise Price for the shares being purchased; except that any portion of the Exercise Price representing a fraction of a share shall in any event be paid in cash. Payment may also be made, in the discretion of the Committee, by the delivery (including, without limitation, by fax) to the Company or its designated agent of an executed irrevocable option exercise form together with irrevocable instructions to a broker-dealer to sell or margin a sufficient portion of the shares and deliver the sale or margin loan proceeds directly to the Company to pay for the Exercise Price. The date of exercise of an Option shall be determined under procedures established by the Committee, and as of the date of exercise the person exercising the Option shall, as between the Company and such person, be considered for all purposes to be the owner of the shares of Common Stock with respect to which the Option has been exercised. Any part of the Exercise Price paid in cash upon the exercise of any Option shall be added to the general funds of the Company and may be used for any proper corporate purpose. Unless the Committee shall otherwise determine, any shares of Common Stock transferred to the Company as payment of all or part of the Exercise Price upon the exercise of any Option shall be held as treasury shares.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6.05 Change in Control. </w:t>
      </w:r>
      <w:r>
        <w:rPr>
          <w:rFonts w:ascii="Arial" w:cs="Arial" w:eastAsia="Arial" w:hAnsi="Arial"/>
          <w:sz w:val="17"/>
          <w:szCs w:val="17"/>
          <w:color w:val="auto"/>
        </w:rPr>
        <w:t>Unless otherwise provided by the Committee in the applicable Award Agreement, in the event of a Change in Control, all</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and Stock Appreciation Rights outstanding on the date of such Change in Control shall become immediately and fully exercisable. Unless otherwise determined by the Committee, the provisions of this Section 6.05 shall not be applicable to any Options and Stock Appreciation Rights granted to a Participant if any Change in Control results from such Participant’s beneficial ownership (within the meaning of Rule 13d-3 under the Exchange Act) of Common Stock. Notwithstanding the above, unless otherwise provided by the Committee in the applicable Award Agreement, with respect to each Award that is subject to Section 409A of the Code, if a Change in Control would have occurred under the Plan pursuant to the definition in Section 2.06 except that such Change in Control does not constitute a change in the ownership or effective control of the Company or a change in the ownership of a substantial portion of the assets of the Company under Section 409A, then each such Award shall become vested and non-forfeitable; provided, however, that the Grantee shall not be able to exercise the Award, and the Award shall not become payable, except in accordance with the terms of such Award or until such earlier time as the exercise and/or payment complies with Section 409A of the Code.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SHARES AND RESTRICTED UNITS</w:t>
      </w:r>
    </w:p>
    <w:p>
      <w:pPr>
        <w:spacing w:after="0" w:line="211"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i w:val="1"/>
          <w:iCs w:val="1"/>
          <w:color w:val="auto"/>
        </w:rPr>
        <w:t xml:space="preserve">7.01 Restricted Share and Restricted Unit Awards. </w:t>
      </w:r>
      <w:r>
        <w:rPr>
          <w:rFonts w:ascii="Arial" w:cs="Arial" w:eastAsia="Arial" w:hAnsi="Arial"/>
          <w:sz w:val="17"/>
          <w:szCs w:val="17"/>
          <w:color w:val="auto"/>
        </w:rPr>
        <w:t>The Committee may grant to any Participant a Restricted Share Award consisting of such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Common Stock on such terms, conditions and restrictions, whether based on performance standards, periods of service, retention by the Participant of ownership of specified shares of Common Stock or other criteria, as the Committee shall establish. The Committee may also grant Restricted Unit Awards representing the right to receive shares of Common Stock in the future subject to the achievement of one or more goals relating to the completion of service by the Participant and/or the achievement of performance or other objectives. With respect to performance-based Awards of Restricted Shares or Restricted Units intended to qualify for deductibility under the “performance-based” compensation exception contained in Section 162(m) of the Code, performance targets will consist of specified levels of one or more of the Performance Goals. The terms of any Restricted Share and Restricted Unit Awards granted under this Plan shall be set forth in an Award Agreement which shall contain provisions determined by the Committee and not inconsistent with this Plan; provided, however, that with respect to Restricted Units that are subject to Section 409A of the Code, the provisions of such Restricted Units shall comply with the requirements set forth in Section 409A of the Code. With respect to Restricted Share, Restricted Unit Awards, Performance Awards (as set forth in Section 8.01), and Other Stock-Based Awards (as set forth in Section 9.02) intended to qualify for the “performance-based” compensation exception contained in Section 162(m) of the Code, the aggregate number of Restricted Shares, Restricted Unit Awards and Performance Awards, and Other Stock-Based Awards granted to a single Participant for any performance period shall not exceed 250,000 Shares, subject to adjustment as prescribed in Section 11.08.</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37" w:name="page138"/>
    <w:bookmarkEnd w:id="137"/>
    <w:p>
      <w:pPr>
        <w:ind w:left="-20" w:right="20" w:firstLine="656"/>
        <w:spacing w:after="0" w:line="270" w:lineRule="auto"/>
        <w:tabs>
          <w:tab w:leader="none" w:pos="883"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Issuance of Restricted Shares. </w:t>
      </w:r>
      <w:r>
        <w:rPr>
          <w:rFonts w:ascii="Arial" w:cs="Arial" w:eastAsia="Arial" w:hAnsi="Arial"/>
          <w:sz w:val="17"/>
          <w:szCs w:val="17"/>
          <w:color w:val="auto"/>
        </w:rPr>
        <w:t>As soon as practicable after the Date of Grant of a Restricted Share Award by the Committee, the Company shall</w:t>
      </w:r>
      <w:r>
        <w:rPr>
          <w:rFonts w:ascii="Arial" w:cs="Arial" w:eastAsia="Arial" w:hAnsi="Arial"/>
          <w:sz w:val="17"/>
          <w:szCs w:val="17"/>
          <w:i w:val="1"/>
          <w:iCs w:val="1"/>
          <w:color w:val="auto"/>
        </w:rPr>
        <w:t xml:space="preserve"> </w:t>
      </w:r>
      <w:r>
        <w:rPr>
          <w:rFonts w:ascii="Arial" w:cs="Arial" w:eastAsia="Arial" w:hAnsi="Arial"/>
          <w:sz w:val="17"/>
          <w:szCs w:val="17"/>
          <w:color w:val="auto"/>
        </w:rPr>
        <w:t>cause to be transferred on the books of the Company or its agent, shares of Common Stock, registered on behalf of the Participant, evidencing the Restricted Shares covered by the Award, subject to forfeiture to the Company as of the Date of Grant if an Award Agreement with respect to the Restricted Shares covered by the Award is not duly executed by the Participant and timely returned to the Company. All shares of Common Stock covered by Awards under this Article VII shall be subject to the restrictions, terms and conditions contained in the Plan and the applicable Award Agreements entered into by the appropriate Participants. Until the lapse or release of all restrictions applicable to an Award of Restricted Shares the share certificates representing such Restricted Shares may be held in custody by the Company, its designee, or, if the certificates bear a restrictive legend, by the Participant. Upon the lapse or release of all restrictions with respect to an Award as described in Section 7.01(d), one or more share certificates, registered in the name of the Participant, for an appropriate number of shares as provided in Section 7.01(d), free of any restrictions set forth in the Plan and the related Award Agreement shall be delivered to the Participant.</w:t>
      </w:r>
    </w:p>
    <w:p>
      <w:pPr>
        <w:spacing w:after="0" w:line="177" w:lineRule="exact"/>
        <w:rPr>
          <w:rFonts w:ascii="Arial" w:cs="Arial" w:eastAsia="Arial" w:hAnsi="Arial"/>
          <w:sz w:val="17"/>
          <w:szCs w:val="17"/>
          <w:i w:val="1"/>
          <w:iCs w:val="1"/>
          <w:color w:val="auto"/>
        </w:rPr>
      </w:pPr>
    </w:p>
    <w:p>
      <w:pPr>
        <w:ind w:left="-20" w:firstLine="656"/>
        <w:spacing w:after="0" w:line="255" w:lineRule="auto"/>
        <w:tabs>
          <w:tab w:leader="none" w:pos="883"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Stockholder Rights. </w:t>
      </w:r>
      <w:r>
        <w:rPr>
          <w:rFonts w:ascii="Arial" w:cs="Arial" w:eastAsia="Arial" w:hAnsi="Arial"/>
          <w:sz w:val="18"/>
          <w:szCs w:val="18"/>
          <w:color w:val="auto"/>
        </w:rPr>
        <w:t>Beginning on the Date of Grant of a Restricted Share Award and subject to execution of the related Award Agreement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Section 7.01(a), and except as otherwise provided in such Award Agreement, the Participant shall become a stockholder of the Company with respect to all shares subject to the Award Agreement and shall have all of the rights of a stockholder, including, but not limited to, the right to vote such shares and the right to receive dividends; provided, however, that any shares of Common Stock distributed as a dividend or otherwise with respect to any Restricted Shares as to which the restrictions have not yet lapsed, shall be subject to the same restrictions as such Restricted Shares and held or restricted as provided in Section 7.01(a).</w:t>
      </w:r>
    </w:p>
    <w:p>
      <w:pPr>
        <w:spacing w:after="0" w:line="193" w:lineRule="exact"/>
        <w:rPr>
          <w:rFonts w:ascii="Arial" w:cs="Arial" w:eastAsia="Arial" w:hAnsi="Arial"/>
          <w:sz w:val="18"/>
          <w:szCs w:val="18"/>
          <w:i w:val="1"/>
          <w:iCs w:val="1"/>
          <w:color w:val="auto"/>
        </w:rPr>
      </w:pPr>
    </w:p>
    <w:p>
      <w:pPr>
        <w:ind w:left="-20" w:right="340" w:firstLine="656"/>
        <w:spacing w:after="0" w:line="264" w:lineRule="auto"/>
        <w:tabs>
          <w:tab w:leader="none" w:pos="873"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Restriction on Transferability. </w:t>
      </w:r>
      <w:r>
        <w:rPr>
          <w:rFonts w:ascii="Arial" w:cs="Arial" w:eastAsia="Arial" w:hAnsi="Arial"/>
          <w:sz w:val="18"/>
          <w:szCs w:val="18"/>
          <w:color w:val="auto"/>
        </w:rPr>
        <w:t>None of the Restricted Shares may be assigned or transferred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or to an inter vivos trust with respect to which the Participant is treated as the owner under Sections 671 through 677 of the Code), pledged or sold prior to the lapse of the restrictions applicable thereto.</w:t>
      </w:r>
    </w:p>
    <w:p>
      <w:pPr>
        <w:spacing w:after="0" w:line="181" w:lineRule="exact"/>
        <w:rPr>
          <w:rFonts w:ascii="Arial" w:cs="Arial" w:eastAsia="Arial" w:hAnsi="Arial"/>
          <w:sz w:val="18"/>
          <w:szCs w:val="18"/>
          <w:i w:val="1"/>
          <w:iCs w:val="1"/>
          <w:color w:val="auto"/>
        </w:rPr>
      </w:pPr>
    </w:p>
    <w:p>
      <w:pPr>
        <w:ind w:left="-20" w:right="80" w:firstLine="656"/>
        <w:spacing w:after="0" w:line="276" w:lineRule="auto"/>
        <w:tabs>
          <w:tab w:leader="none" w:pos="883"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Delivery of Shares Upon Vesting. </w:t>
      </w:r>
      <w:r>
        <w:rPr>
          <w:rFonts w:ascii="Arial" w:cs="Arial" w:eastAsia="Arial" w:hAnsi="Arial"/>
          <w:sz w:val="17"/>
          <w:szCs w:val="17"/>
          <w:color w:val="auto"/>
        </w:rPr>
        <w:t>Upon expiration or earlier termination of the forfeiture period without a forfeiture and the satisfaction of or</w:t>
      </w:r>
      <w:r>
        <w:rPr>
          <w:rFonts w:ascii="Arial" w:cs="Arial" w:eastAsia="Arial" w:hAnsi="Arial"/>
          <w:sz w:val="17"/>
          <w:szCs w:val="17"/>
          <w:i w:val="1"/>
          <w:iCs w:val="1"/>
          <w:color w:val="auto"/>
        </w:rPr>
        <w:t xml:space="preserve"> </w:t>
      </w:r>
      <w:r>
        <w:rPr>
          <w:rFonts w:ascii="Arial" w:cs="Arial" w:eastAsia="Arial" w:hAnsi="Arial"/>
          <w:sz w:val="17"/>
          <w:szCs w:val="17"/>
          <w:color w:val="auto"/>
        </w:rPr>
        <w:t>release from any other conditions prescribed by the Committee, or at such earlier time as provided under the provisions of Section 7.03, the restrictions applicable to the Restricted Shares shall lapse. As promptly as administratively feasible thereafter, subject to the requirements of Section 11.05, the Company shall deliver to the Participant or, in case of the Participant’s death, to the Participant’s Beneficiary, one or more share certificates for the appropriate number of shares of Common Stock, free of all such restrictions, except for any restrictions that may be imposed by law.</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7.02 Terms of Restricted Shares.</w:t>
      </w:r>
    </w:p>
    <w:p>
      <w:pPr>
        <w:spacing w:after="0" w:line="225" w:lineRule="exact"/>
        <w:rPr>
          <w:sz w:val="20"/>
          <w:szCs w:val="20"/>
          <w:color w:val="auto"/>
        </w:rPr>
      </w:pPr>
    </w:p>
    <w:p>
      <w:pPr>
        <w:ind w:left="-20" w:right="20" w:firstLine="656"/>
        <w:spacing w:after="0" w:line="257" w:lineRule="auto"/>
        <w:tabs>
          <w:tab w:leader="none" w:pos="883"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Forfeiture of Restricted Shares. </w:t>
      </w:r>
      <w:r>
        <w:rPr>
          <w:rFonts w:ascii="Arial" w:cs="Arial" w:eastAsia="Arial" w:hAnsi="Arial"/>
          <w:sz w:val="18"/>
          <w:szCs w:val="18"/>
          <w:color w:val="auto"/>
        </w:rPr>
        <w:t>Subject to Sections 7.02(b) and 7.04, Restricted Shares shall be forfeited and returned to the Company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of the Participant with respect to such Restricted Shares shall terminate unless the Participant continues in the service of the Company or a Subsidiary until the expiration of the forfeiture period for such Restricted Shares and satisfies any and all other conditions set forth in the Award Agreement. The Committee shall determine the forfeiture period (which may, but need not, lapse in installments) and any other terms and conditions applicable with respect to any Restricted Share Award.</w:t>
      </w:r>
    </w:p>
    <w:p>
      <w:pPr>
        <w:spacing w:after="0" w:line="188" w:lineRule="exact"/>
        <w:rPr>
          <w:rFonts w:ascii="Arial" w:cs="Arial" w:eastAsia="Arial" w:hAnsi="Arial"/>
          <w:sz w:val="18"/>
          <w:szCs w:val="18"/>
          <w:i w:val="1"/>
          <w:iCs w:val="1"/>
          <w:color w:val="auto"/>
        </w:rPr>
      </w:pPr>
    </w:p>
    <w:p>
      <w:pPr>
        <w:ind w:left="-20" w:right="140" w:firstLine="656"/>
        <w:spacing w:after="0" w:line="255" w:lineRule="auto"/>
        <w:tabs>
          <w:tab w:leader="none" w:pos="883"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Waiver of Forfeiture Period. </w:t>
      </w:r>
      <w:r>
        <w:rPr>
          <w:rFonts w:ascii="Arial" w:cs="Arial" w:eastAsia="Arial" w:hAnsi="Arial"/>
          <w:sz w:val="18"/>
          <w:szCs w:val="18"/>
          <w:color w:val="auto"/>
        </w:rPr>
        <w:t>Notwithstanding anything contained in this Article VII to the contrary, the Committee may,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waive the forfeiture period and any other conditions set forth in any Award Agreement under appropriate circumstances (including the death, Permanent Disability or Retirement of the Participant or a material change in circumstances arising after the date of an Award) and subject to such terms and conditions (including forfeiture of a proportionate number of the Restricted Shares) as the Committee shall deem appropriate; provided, however, that, except in connection with a Change in Control, any performance conditions applicable to Awards that are intended to qualify for the “performance-based” compensation exception contained in Section 162(m) of the Code shall not be waived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368" w:right="239" w:bottom="1440" w:gutter="0" w:footer="0" w:header="0"/>
        </w:sectPr>
      </w:pPr>
    </w:p>
    <w:bookmarkStart w:id="138" w:name="page139"/>
    <w:bookmarkEnd w:id="138"/>
    <w:p>
      <w:pPr>
        <w:ind w:right="3920"/>
        <w:spacing w:after="0" w:line="277" w:lineRule="auto"/>
        <w:rPr>
          <w:sz w:val="20"/>
          <w:szCs w:val="20"/>
          <w:color w:val="auto"/>
        </w:rPr>
      </w:pPr>
      <w:r>
        <w:rPr>
          <w:rFonts w:ascii="Arial" w:cs="Arial" w:eastAsia="Arial" w:hAnsi="Arial"/>
          <w:sz w:val="18"/>
          <w:szCs w:val="18"/>
          <w:color w:val="auto"/>
        </w:rPr>
        <w:t>and provided further that any conditions waived in respect of Restricted Units Awards shall be done in a manner intended to comply with Section 409A of the Code.</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7.03 Restricted Stock Units. </w:t>
      </w:r>
      <w:r>
        <w:rPr>
          <w:rFonts w:ascii="Arial" w:cs="Arial" w:eastAsia="Arial" w:hAnsi="Arial"/>
          <w:sz w:val="16"/>
          <w:szCs w:val="16"/>
          <w:color w:val="auto"/>
        </w:rPr>
        <w:t>Restricted Unit Awards shall be subject to the restrictions, terms and conditions contained in the Plan and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Agreements entered into by the appropriate Participants. Until the lapse or release of all restrictions applicable to an Award of Restricted Units, no shares of Common Stock shall be issued in respect of such Awards and no Participant shall have any rights as a stockholder of the Company with respect to the shares of Common Stock covered by such Restricted Unit Award. Upon the lapse or release of all restrictions with respect to a Restricted Unit Award or at a later date if distribution has been deferred, one or more share certificates, registered in the name of the Participant, for an appropriate number of shares, free of any restrictions set forth in the Plan and the related Award Agreement shall be delivered to the Participant. A Participant’s Restricted Unit Award shall not be contingent on any payment by or consideration from the Participant other than the rendering of services. Notwithstanding anything contained in this Section 7.03 to the contrary, the Committee may, in its sole discretion, waive the forfeiture period and any other conditions set forth in any Award Agreement under appropriate circumstances (including the death, Permanent Disability or Retirement of the Participant or a material change in circumstances arising after the date of an Award) and subject to such terms and conditions (including forfeiture of a proportionate number of the Restricted Units) as the Committee shall deem appropriate provided that such waiver is done in a manner intended to comply with Section 409A of the Code.</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7.04 Change in Control. </w:t>
      </w:r>
      <w:r>
        <w:rPr>
          <w:rFonts w:ascii="Arial" w:cs="Arial" w:eastAsia="Arial" w:hAnsi="Arial"/>
          <w:sz w:val="17"/>
          <w:szCs w:val="17"/>
          <w:color w:val="auto"/>
        </w:rPr>
        <w:t>Unless otherwise provided by the Committee in the applicable Award Agreement, in the event of a Change in Control, all</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applicable to Restricted Shares and Restricted Unit Awards shall terminate fully and the Participant shall immediately have the right to the delivery of share certificates. Unless otherwise determined by the Committee, the provisions of this Section 7.04 shall not be applicable to any Restricted Shares and Restricted Units granted to a Participant if any Change in Control results from such Participant’s beneficial ownership (within the meaning of Rule 13d-3 under the Exchange Act) of Common Stock. Notwithstanding the above, unless otherwise provided by the Committee in the applicable Award Agreement, with respect to each Award that is subject to Section 409A of the Code, if a Change in Control would have occurred under the Plan pursuant to the definition in Section 2.06 except that such Change in Control does not constitute a change in the ownership or effective control of the Company or a change in the ownership of a substantial portion of the assets of the Company under Section 409A, then each such Award shall become vested and non-forfeitable and the Award shall not become payable except in accordance with the terms of such Award or until such earlier time as the exercise and/or payment complies with Section 409A of the Code.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PERFORMANCE AWARDS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8.01 Performance Awards.</w:t>
      </w:r>
    </w:p>
    <w:p>
      <w:pPr>
        <w:spacing w:after="0" w:line="225" w:lineRule="exact"/>
        <w:rPr>
          <w:sz w:val="20"/>
          <w:szCs w:val="20"/>
          <w:color w:val="auto"/>
        </w:rPr>
      </w:pPr>
    </w:p>
    <w:p>
      <w:pPr>
        <w:ind w:right="20" w:firstLine="656"/>
        <w:spacing w:after="0" w:line="272" w:lineRule="auto"/>
        <w:tabs>
          <w:tab w:leader="none" w:pos="903" w:val="left"/>
        </w:tabs>
        <w:numPr>
          <w:ilvl w:val="0"/>
          <w:numId w:val="5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Award Periods and Determinations of Awards. </w:t>
      </w:r>
      <w:r>
        <w:rPr>
          <w:rFonts w:ascii="Arial" w:cs="Arial" w:eastAsia="Arial" w:hAnsi="Arial"/>
          <w:sz w:val="17"/>
          <w:szCs w:val="17"/>
          <w:color w:val="auto"/>
        </w:rPr>
        <w:t>The Committee may grant Performance Awards to Participants. A Performance Award shall</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of the right to receive a payment (measured by the Fair Market Value of a specified number of shares of Common Stock, increases in such Fair Market Value during the Award Period and/or a fixed cash amount) contingent upon the extent to which certain predetermined performance targets have been met during an Award Period. Performance Awards may be made in conjunction with, or in addition to, Restricted Share Awards and Restricted Units made under Article VII. The Award Period shall be two or more fiscal or calendar years or other annual periods as determined by the Committee. The Committee, in its discretion and under such terms as it deems appropriate, may permit newly eligible Participants, such as those who are promoted or newly hired, to receive Performance Awards after an Award Period has commenced.</w:t>
      </w:r>
    </w:p>
    <w:p>
      <w:pPr>
        <w:spacing w:after="0" w:line="177" w:lineRule="exact"/>
        <w:rPr>
          <w:rFonts w:ascii="Arial" w:cs="Arial" w:eastAsia="Arial" w:hAnsi="Arial"/>
          <w:sz w:val="17"/>
          <w:szCs w:val="17"/>
          <w:i w:val="1"/>
          <w:iCs w:val="1"/>
          <w:color w:val="auto"/>
        </w:rPr>
      </w:pPr>
    </w:p>
    <w:p>
      <w:pPr>
        <w:ind w:right="240" w:firstLine="656"/>
        <w:spacing w:after="0" w:line="264" w:lineRule="auto"/>
        <w:tabs>
          <w:tab w:leader="none" w:pos="903"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Performance Targets. </w:t>
      </w:r>
      <w:r>
        <w:rPr>
          <w:rFonts w:ascii="Arial" w:cs="Arial" w:eastAsia="Arial" w:hAnsi="Arial"/>
          <w:sz w:val="18"/>
          <w:szCs w:val="18"/>
          <w:color w:val="auto"/>
        </w:rPr>
        <w:t>The performance targets may include such goals related to the performance of the Company and/or the performance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as may be established by the Committee in its discretion. In the case of Performance Awards intended to qualify for deductibility under the “performance-based” compensation exception contained in Section 162(m) of the Code, (i) the targets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39" w:name="page140"/>
    <w:bookmarkEnd w:id="139"/>
    <w:p>
      <w:pPr>
        <w:ind w:right="20"/>
        <w:spacing w:after="0" w:line="291" w:lineRule="auto"/>
        <w:rPr>
          <w:sz w:val="20"/>
          <w:szCs w:val="20"/>
          <w:color w:val="auto"/>
        </w:rPr>
      </w:pPr>
      <w:r>
        <w:rPr>
          <w:rFonts w:ascii="Arial" w:cs="Arial" w:eastAsia="Arial" w:hAnsi="Arial"/>
          <w:sz w:val="16"/>
          <w:szCs w:val="16"/>
          <w:color w:val="auto"/>
        </w:rPr>
        <w:t>will consist of specified levels of one or more of the Performance Goals and (ii) in conjunction with the establishment of performance targets for the Award Period, the Committee shall adopt an objective formula (on the basis of percentages of Participants’ salaries, shares in a bonus pool or otherwise) for computing the respective amounts payable to Participants if and to the extent that the performance targets are attained (and, to the extent based on percentages of a bonus pool, such percentages shall not exceed 100% in the aggregate). The performance targets established by the Committee may vary for different Award Periods and need not be the same for each Participant receiving a Performance Award in an Award Period. Notwithstanding the attainment by the Company of the specified performance targets, the Committee shall have the discretion, which need not be exercised uniformly among the Participants, to reduce or eliminate the Performance Award that would be otherwise payable on the achievement of the performance targets.</w:t>
      </w:r>
    </w:p>
    <w:p>
      <w:pPr>
        <w:spacing w:after="0" w:line="167" w:lineRule="exact"/>
        <w:rPr>
          <w:sz w:val="20"/>
          <w:szCs w:val="20"/>
          <w:color w:val="auto"/>
        </w:rPr>
      </w:pPr>
    </w:p>
    <w:p>
      <w:pPr>
        <w:ind w:right="320" w:firstLine="656"/>
        <w:spacing w:after="0" w:line="277" w:lineRule="auto"/>
        <w:tabs>
          <w:tab w:leader="none" w:pos="893"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Earning Performance Awards. </w:t>
      </w:r>
      <w:r>
        <w:rPr>
          <w:rFonts w:ascii="Arial" w:cs="Arial" w:eastAsia="Arial" w:hAnsi="Arial"/>
          <w:sz w:val="18"/>
          <w:szCs w:val="18"/>
          <w:color w:val="auto"/>
        </w:rPr>
        <w:t>The Committee, on or as soon as practicable after the Date of Grant, shall prescribe a formula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applicable Performance Award to be earned based upon the degree of attainment of performance targets.</w:t>
      </w:r>
    </w:p>
    <w:p>
      <w:pPr>
        <w:spacing w:after="0" w:line="170" w:lineRule="exact"/>
        <w:rPr>
          <w:rFonts w:ascii="Arial" w:cs="Arial" w:eastAsia="Arial" w:hAnsi="Arial"/>
          <w:sz w:val="18"/>
          <w:szCs w:val="18"/>
          <w:i w:val="1"/>
          <w:iCs w:val="1"/>
          <w:color w:val="auto"/>
        </w:rPr>
      </w:pPr>
    </w:p>
    <w:p>
      <w:pPr>
        <w:ind w:firstLine="656"/>
        <w:spacing w:after="0" w:line="273" w:lineRule="auto"/>
        <w:tabs>
          <w:tab w:leader="none" w:pos="903" w:val="left"/>
        </w:tabs>
        <w:numPr>
          <w:ilvl w:val="0"/>
          <w:numId w:val="5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Payment of Earned Performance Awards. </w:t>
      </w:r>
      <w:r>
        <w:rPr>
          <w:rFonts w:ascii="Arial" w:cs="Arial" w:eastAsia="Arial" w:hAnsi="Arial"/>
          <w:sz w:val="17"/>
          <w:szCs w:val="17"/>
          <w:color w:val="auto"/>
        </w:rPr>
        <w:t>Payments of earned Performance Awards shall be made in cash or shares of Common Stock or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cash and shares of Common Stock in the discretion of the Committee, upon prior written certification by the Committee of attainment of the specified performance targets and shall in no event be payable after March 15th of the year following the year in which the Performance Award is no longer subject to a substantial risk of forfeiture (within the meaning of Section 409A of the Code). The Committee, in its sole discretion, may provide such terms and conditions with respect to the payment of earned Performance Awards as it may deem desirable, provided that the terms and conditions with respect to the payment of Performance Awards shall comply with the requirements set forth in Section 409A of the Code.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8.02 Terms of Performance Awards.</w:t>
      </w:r>
    </w:p>
    <w:p>
      <w:pPr>
        <w:spacing w:after="0" w:line="225" w:lineRule="exact"/>
        <w:rPr>
          <w:sz w:val="20"/>
          <w:szCs w:val="20"/>
          <w:color w:val="auto"/>
        </w:rPr>
      </w:pPr>
    </w:p>
    <w:p>
      <w:pPr>
        <w:ind w:right="80" w:firstLine="656"/>
        <w:spacing w:after="0" w:line="277" w:lineRule="auto"/>
        <w:tabs>
          <w:tab w:leader="none" w:pos="903"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Unless otherwise provided below or in Section 8.03, in the case of a Participant’s Termination of Employment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end of an Award Period, the Participant will not have earned any Performance Awards for that Award Period.</w:t>
      </w:r>
    </w:p>
    <w:p>
      <w:pPr>
        <w:spacing w:after="0" w:line="170" w:lineRule="exact"/>
        <w:rPr>
          <w:rFonts w:ascii="Arial" w:cs="Arial" w:eastAsia="Arial" w:hAnsi="Arial"/>
          <w:sz w:val="18"/>
          <w:szCs w:val="18"/>
          <w:i w:val="1"/>
          <w:iCs w:val="1"/>
          <w:color w:val="auto"/>
        </w:rPr>
      </w:pPr>
    </w:p>
    <w:p>
      <w:pPr>
        <w:ind w:right="80" w:firstLine="656"/>
        <w:spacing w:after="0" w:line="273" w:lineRule="auto"/>
        <w:tabs>
          <w:tab w:leader="none" w:pos="903" w:val="left"/>
        </w:tabs>
        <w:numPr>
          <w:ilvl w:val="0"/>
          <w:numId w:val="6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If a Participant’s Termination of Employment is because of Retirement prior to the end of an Award Period, the Participant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be paid any Performance Award, unless the Committee, in its sole and exclusive discretion, determines that an Award should be paid. In such a case, the Participant shall be entitled to receive a pro-rata portion of his or her Award as determined under subsection (d), provided, however, that, except in the event of a Change in Control, any Performance Award intended to qualify for the “performance-based” compensation exception contained in Section 162(m) of the Code shall not be paid unless the performance goals are satisfied and provided further that any payment of Performance Awards shall be done in a manner intended to comply with Section 409A of the Code.</w:t>
      </w:r>
    </w:p>
    <w:p>
      <w:pPr>
        <w:spacing w:after="0" w:line="178" w:lineRule="exact"/>
        <w:rPr>
          <w:rFonts w:ascii="Arial" w:cs="Arial" w:eastAsia="Arial" w:hAnsi="Arial"/>
          <w:sz w:val="17"/>
          <w:szCs w:val="17"/>
          <w:i w:val="1"/>
          <w:iCs w:val="1"/>
          <w:color w:val="auto"/>
        </w:rPr>
      </w:pPr>
    </w:p>
    <w:p>
      <w:pPr>
        <w:ind w:right="320" w:firstLine="656"/>
        <w:spacing w:after="0" w:line="264" w:lineRule="auto"/>
        <w:tabs>
          <w:tab w:leader="none" w:pos="893"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Death or Permanent Disability. </w:t>
      </w:r>
      <w:r>
        <w:rPr>
          <w:rFonts w:ascii="Arial" w:cs="Arial" w:eastAsia="Arial" w:hAnsi="Arial"/>
          <w:sz w:val="18"/>
          <w:szCs w:val="18"/>
          <w:color w:val="auto"/>
        </w:rPr>
        <w:t>If a Participant’s Termination of Employment is due to death or to Permanent Disability (as determined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sole and exclusive discretion of the Committee) prior to the end of an Award Period, the Participant or the Participant’s personal representative shall be entitled to receive a pro-rata share of his or her Award as determined under subsection (d).</w:t>
      </w:r>
    </w:p>
    <w:p>
      <w:pPr>
        <w:spacing w:after="0" w:line="181" w:lineRule="exact"/>
        <w:rPr>
          <w:rFonts w:ascii="Arial" w:cs="Arial" w:eastAsia="Arial" w:hAnsi="Arial"/>
          <w:sz w:val="18"/>
          <w:szCs w:val="18"/>
          <w:i w:val="1"/>
          <w:iCs w:val="1"/>
          <w:color w:val="auto"/>
        </w:rPr>
      </w:pPr>
    </w:p>
    <w:p>
      <w:pPr>
        <w:ind w:right="80" w:firstLine="656"/>
        <w:spacing w:after="0" w:line="271" w:lineRule="auto"/>
        <w:tabs>
          <w:tab w:leader="none" w:pos="903" w:val="left"/>
        </w:tabs>
        <w:numPr>
          <w:ilvl w:val="0"/>
          <w:numId w:val="6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Pro-Rata Payment. </w:t>
      </w:r>
      <w:r>
        <w:rPr>
          <w:rFonts w:ascii="Arial" w:cs="Arial" w:eastAsia="Arial" w:hAnsi="Arial"/>
          <w:sz w:val="17"/>
          <w:szCs w:val="17"/>
          <w:color w:val="auto"/>
        </w:rPr>
        <w:t>The amount of any payment to be made to a Participant whose employment is terminated by Retirement, death or Permanent</w:t>
      </w:r>
      <w:r>
        <w:rPr>
          <w:rFonts w:ascii="Arial" w:cs="Arial" w:eastAsia="Arial" w:hAnsi="Arial"/>
          <w:sz w:val="17"/>
          <w:szCs w:val="17"/>
          <w:i w:val="1"/>
          <w:iCs w:val="1"/>
          <w:color w:val="auto"/>
        </w:rPr>
        <w:t xml:space="preserve"> </w:t>
      </w:r>
      <w:r>
        <w:rPr>
          <w:rFonts w:ascii="Arial" w:cs="Arial" w:eastAsia="Arial" w:hAnsi="Arial"/>
          <w:sz w:val="17"/>
          <w:szCs w:val="17"/>
          <w:color w:val="auto"/>
        </w:rPr>
        <w:t>Disability (under the circumstances described in subsections (b) and (c)) will be the amount determined by multiplying (i) the amount of the Performance Award that would have been earned through the end of the Award Period had such employment not been terminated by (ii) a fraction, the numerator of which is the number of whole months such Participant was employed during the Award Period, and the denominator of which is the total number of months of the Award Period. Any such payment made to a Participant whose employment is terminated prior to the end of an Award Period shall be made at the same time made to active Participants, unless otherwise determined by the Committee in its sole discretion (which such discretion shall be applied in a manner intended to comply with Section 409A of the Code). To the extent permitted by Section 409A of the Code, any partial payment previously made or credited to a deferred account for the benefit of a Participant 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color w:val="auto"/>
        </w:rPr>
        <w:t>accordance with Section 8.01(d) of the Plan shall be subtracted from the amount otherwise determined as payable as provided in this Section 8.02(d).</w:t>
      </w:r>
    </w:p>
    <w:p>
      <w:pPr>
        <w:spacing w:after="0" w:line="237" w:lineRule="exact"/>
        <w:rPr>
          <w:sz w:val="20"/>
          <w:szCs w:val="20"/>
          <w:color w:val="auto"/>
        </w:rPr>
      </w:pPr>
    </w:p>
    <w:p>
      <w:pPr>
        <w:ind w:right="60" w:firstLine="656"/>
        <w:spacing w:after="0" w:line="255" w:lineRule="auto"/>
        <w:tabs>
          <w:tab w:leader="none" w:pos="893"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Events. </w:t>
      </w:r>
      <w:r>
        <w:rPr>
          <w:rFonts w:ascii="Arial" w:cs="Arial" w:eastAsia="Arial" w:hAnsi="Arial"/>
          <w:sz w:val="18"/>
          <w:szCs w:val="18"/>
          <w:color w:val="auto"/>
        </w:rPr>
        <w:t>Notwithstanding anything to the contrary in this Article VIII, the Committee may, in its sole and exclusive discretion, determine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all or any portion of a Performance Award to a Participant who has terminated employment prior to the end of an Award Period under other circumstances, subject to such terms and conditions as the Committee shall deem appropriate; provided, however, that, except in the event of a Change in Control, any Performance Award intended to qualify for the “performance-based” compensation exception contained in Section 162(m) of the Code shall not be paid unless the performance goals are satisfied and provided further that any payment of Performance Awards shall be done in a manner intended to comply with Section 409A of the Code.</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8.03 Change in Control. </w:t>
      </w:r>
      <w:r>
        <w:rPr>
          <w:rFonts w:ascii="Arial" w:cs="Arial" w:eastAsia="Arial" w:hAnsi="Arial"/>
          <w:sz w:val="17"/>
          <w:szCs w:val="17"/>
          <w:color w:val="auto"/>
        </w:rPr>
        <w:t>Unless otherwise provided by the Committee in the applicable Award Agreement, in the event of a Change in Control, all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Awards for all Award Periods shall immediately become fully payable (at the target level) to all Participants and shall be paid to Participants within thirty (30) days after such Change in Control. Unless otherwise determined by the Committee, the provisions of this Section 8.03 shall not be applicable to any Performance Awards granted to a Participant if any Change in Control results from such Participant’s beneficial ownership (within the meaning of Rule 13d-3 under the Exchange Act) of Common Stock. Notwithstanding the above, unless otherwise provided by the Committee in the applicable Award Agreement, with respect to each Award that is subject to Section 409A of the Code, if a Change in Control would have occurred under the Plan pursuant to the definition in Section 2.06 except that such Change in Control does not constitute a change in the ownership or effective control of the Company or a change in the ownership of a substantial portion of the assets of the Company under Section 409A, then each such Award shall become vested and non-forfeitable; provided, however, that the Award shall not become payable except in accordance with the terms of such Award or until such earlier time as the payment complies with Section 409A of the Code.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STOCK-BASED AWARDS</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9.01 Grant of Other Stock-Based Awards. </w:t>
      </w:r>
      <w:r>
        <w:rPr>
          <w:rFonts w:ascii="Arial" w:cs="Arial" w:eastAsia="Arial" w:hAnsi="Arial"/>
          <w:sz w:val="17"/>
          <w:szCs w:val="17"/>
          <w:color w:val="auto"/>
        </w:rPr>
        <w:t>Other stock-based awards, consisting of stock purchase rights (with or without loans to Participants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containing such terms as the Committee shall determine), Awards of Common Stock, or Awards valued in whole or in part by reference to, or otherwise based on, Common Stock, may be granted either alone or in addition to or in conjunction with other Awards under the Plan. Subject to the provisions of the Plan, the Committee shall have sole and complete authority to determine the persons to whom and the time or times at which such Awards shall be made, the number of shares of Common Stock to be granted pursuant to such Awards, and all other conditions of the Awards. Any such Award shall be confirmed by an Award Agreement executed by the Company and the Participant, which Award Agreement shall contain such provisions as the Committee determines to be necessary or appropriate to carry out the intent of this Plan with respect to such Award.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9.02 Terms of Other Stock-Based Awards. </w:t>
      </w:r>
      <w:r>
        <w:rPr>
          <w:rFonts w:ascii="Arial" w:cs="Arial" w:eastAsia="Arial" w:hAnsi="Arial"/>
          <w:sz w:val="16"/>
          <w:szCs w:val="16"/>
          <w:color w:val="auto"/>
        </w:rPr>
        <w:t>In addition to the terms and conditions specified in the Award Agreement, Awards made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IX shall be subject to the following:</w:t>
      </w:r>
    </w:p>
    <w:p>
      <w:pPr>
        <w:spacing w:after="0" w:line="211" w:lineRule="exact"/>
        <w:rPr>
          <w:sz w:val="20"/>
          <w:szCs w:val="20"/>
          <w:color w:val="auto"/>
        </w:rPr>
      </w:pPr>
    </w:p>
    <w:p>
      <w:pPr>
        <w:ind w:right="40" w:firstLine="656"/>
        <w:spacing w:after="0" w:line="264" w:lineRule="auto"/>
        <w:tabs>
          <w:tab w:leader="none" w:pos="903"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Any Common Stock subject to Awards made under this Article IX may not be sold, assigned, transferred, pledged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encumbered prior to the date on which the shares are issued, or, if later, the date on which any applicable restriction, performance or deferral period lapses; and</w:t>
      </w:r>
    </w:p>
    <w:p>
      <w:pPr>
        <w:spacing w:after="0" w:line="181" w:lineRule="exact"/>
        <w:rPr>
          <w:rFonts w:ascii="Arial" w:cs="Arial" w:eastAsia="Arial" w:hAnsi="Arial"/>
          <w:sz w:val="18"/>
          <w:szCs w:val="18"/>
          <w:i w:val="1"/>
          <w:iCs w:val="1"/>
          <w:color w:val="auto"/>
        </w:rPr>
      </w:pPr>
    </w:p>
    <w:p>
      <w:pPr>
        <w:ind w:firstLine="656"/>
        <w:spacing w:after="0" w:line="264" w:lineRule="auto"/>
        <w:tabs>
          <w:tab w:leader="none" w:pos="903"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and Dividends. </w:t>
      </w:r>
      <w:r>
        <w:rPr>
          <w:rFonts w:ascii="Arial" w:cs="Arial" w:eastAsia="Arial" w:hAnsi="Arial"/>
          <w:sz w:val="18"/>
          <w:szCs w:val="18"/>
          <w:color w:val="auto"/>
        </w:rPr>
        <w:t>If specified by the Committee in the Award Agreement, the recipient of an Award under this Article IX shall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currently or on a deferred basis, interest or dividends or dividend equivalents with respect to the Common Stock or other securities covered by the Award; and</w:t>
      </w:r>
    </w:p>
    <w:p>
      <w:pPr>
        <w:spacing w:after="0" w:line="181" w:lineRule="exact"/>
        <w:rPr>
          <w:rFonts w:ascii="Arial" w:cs="Arial" w:eastAsia="Arial" w:hAnsi="Arial"/>
          <w:sz w:val="18"/>
          <w:szCs w:val="18"/>
          <w:i w:val="1"/>
          <w:iCs w:val="1"/>
          <w:color w:val="auto"/>
        </w:rPr>
      </w:pPr>
    </w:p>
    <w:p>
      <w:pPr>
        <w:ind w:right="160" w:firstLine="656"/>
        <w:spacing w:after="0" w:line="342" w:lineRule="auto"/>
        <w:tabs>
          <w:tab w:leader="none" w:pos="893"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Termination of Service. </w:t>
      </w:r>
      <w:r>
        <w:rPr>
          <w:rFonts w:ascii="Arial" w:cs="Arial" w:eastAsia="Arial" w:hAnsi="Arial"/>
          <w:sz w:val="16"/>
          <w:szCs w:val="16"/>
          <w:color w:val="auto"/>
        </w:rPr>
        <w:t>The Award Agreement with respect to any Award shall contain provisions dealing with the disposition of such Award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event of a termination of service prior to the exercise, realization or payment of such Award, whether such termination occurs because of Retirement,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Permanent Disability, death or other reason, with such provisions to take account of the specific nature and purpose of the Award.</w:t>
      </w:r>
    </w:p>
    <w:p>
      <w:pPr>
        <w:spacing w:after="0" w:line="225" w:lineRule="exact"/>
        <w:rPr>
          <w:sz w:val="20"/>
          <w:szCs w:val="20"/>
          <w:color w:val="auto"/>
        </w:rPr>
      </w:pPr>
    </w:p>
    <w:p>
      <w:pPr>
        <w:ind w:right="260" w:firstLine="656"/>
        <w:spacing w:after="0" w:line="264" w:lineRule="auto"/>
        <w:tabs>
          <w:tab w:leader="none" w:pos="903"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With respect to Awards under this Article IX intended to qualify for deductibility under the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exception contained in Section 162(m) of the Code, performance targets will consist of specified levels of one or more of the Performance Goals.</w:t>
      </w:r>
    </w:p>
    <w:p>
      <w:pPr>
        <w:spacing w:after="0" w:line="18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i w:val="1"/>
          <w:iCs w:val="1"/>
          <w:color w:val="auto"/>
        </w:rPr>
        <w:t xml:space="preserve">9.03 Change in Control. </w:t>
      </w:r>
      <w:r>
        <w:rPr>
          <w:rFonts w:ascii="Arial" w:cs="Arial" w:eastAsia="Arial" w:hAnsi="Arial"/>
          <w:sz w:val="17"/>
          <w:szCs w:val="17"/>
          <w:color w:val="auto"/>
        </w:rPr>
        <w:t>Unless otherwise provided by the Committee in the applicable Award Agreement, in the event of a Change in Control, all</w:t>
      </w:r>
      <w:r>
        <w:rPr>
          <w:rFonts w:ascii="Arial" w:cs="Arial" w:eastAsia="Arial" w:hAnsi="Arial"/>
          <w:sz w:val="17"/>
          <w:szCs w:val="17"/>
          <w:i w:val="1"/>
          <w:iCs w:val="1"/>
          <w:color w:val="auto"/>
        </w:rPr>
        <w:t xml:space="preserve"> </w:t>
      </w:r>
      <w:r>
        <w:rPr>
          <w:rFonts w:ascii="Arial" w:cs="Arial" w:eastAsia="Arial" w:hAnsi="Arial"/>
          <w:sz w:val="17"/>
          <w:szCs w:val="17"/>
          <w:color w:val="auto"/>
        </w:rPr>
        <w:t>other stock-based Awards under this Article IX shall immediately become fully vested and payable to all Participants and shall be paid to Participants within thirty (30) days after such Change in Control. Unless otherwise determined by the Committee, the provisions of this Section 9.03 shall not be applicable to any Awards granted to a Participant if any Change in Control results from such Participant’s beneficial ownership (within the meaning of Rule 13d-3 under the Exchange Act) of Common Stock. Notwithstanding the above, unless otherwise provided by the Committee in the applicable Award Agreement, with respect to each Award that is subject to Section 409A of the Code, if a Change in Control would have occurred under the Plan pursuant to the definition in Section 2.06 except that such Change in Control does not constitute a change in the ownership or effective control of the Company or a change in the ownership of a substantial portion of the assets of the Company under Section 409A, then each such Award shall become vested and non-forfeitable; provided, however, the Award shall not become payable except in accordance with the terms of such Award or until such earlier time as the exercise and/or payment complies with Section 409A of the Code.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SHORT-TERM CASH INCENTIVE AWARDS</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10.01 Eligibility. </w:t>
      </w:r>
      <w:r>
        <w:rPr>
          <w:rFonts w:ascii="Arial" w:cs="Arial" w:eastAsia="Arial" w:hAnsi="Arial"/>
          <w:sz w:val="17"/>
          <w:szCs w:val="17"/>
          <w:color w:val="auto"/>
        </w:rPr>
        <w:t>This Article X is a limited purpose provision that shall apply only in the event the Committee deems it appropriate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short-term cash incentives for executive officers of the Company who are from time to time determined by the Committee to be “covered employees” for purposes of Section 162(m) of the Code qualify for deductibility under the “performance-based” compensation exception contained in Section 162(m). The maximum value of such short-term cash incentive for any covered employee shall not exceed $5 million for any fiscal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10.02 Awards.</w:t>
      </w:r>
    </w:p>
    <w:p>
      <w:pPr>
        <w:spacing w:after="0" w:line="225" w:lineRule="exact"/>
        <w:rPr>
          <w:sz w:val="20"/>
          <w:szCs w:val="20"/>
          <w:color w:val="auto"/>
        </w:rPr>
      </w:pPr>
    </w:p>
    <w:p>
      <w:pPr>
        <w:ind w:firstLine="656"/>
        <w:spacing w:after="0" w:line="312" w:lineRule="auto"/>
        <w:tabs>
          <w:tab w:leader="none" w:pos="903"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Performance Targets. </w:t>
      </w:r>
      <w:r>
        <w:rPr>
          <w:rFonts w:ascii="Arial" w:cs="Arial" w:eastAsia="Arial" w:hAnsi="Arial"/>
          <w:sz w:val="16"/>
          <w:szCs w:val="16"/>
          <w:color w:val="auto"/>
        </w:rPr>
        <w:t>For each fiscal year of the Company with respect to which the Committee determines this Article X to be in effect,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establish objective performance targets based on specified levels of one or more of the Performance Goals. Such performance targets shall be established by the Committee on a timely basis to ensure that the targets are considered “pre-established” for purposes of Section 162(m) of the Code.</w:t>
      </w:r>
    </w:p>
    <w:p>
      <w:pPr>
        <w:spacing w:after="0" w:line="146" w:lineRule="exact"/>
        <w:rPr>
          <w:rFonts w:ascii="Arial" w:cs="Arial" w:eastAsia="Arial" w:hAnsi="Arial"/>
          <w:sz w:val="16"/>
          <w:szCs w:val="16"/>
          <w:i w:val="1"/>
          <w:iCs w:val="1"/>
          <w:color w:val="auto"/>
        </w:rPr>
      </w:pPr>
    </w:p>
    <w:p>
      <w:pPr>
        <w:ind w:right="40" w:firstLine="656"/>
        <w:spacing w:after="0" w:line="257" w:lineRule="auto"/>
        <w:tabs>
          <w:tab w:leader="none" w:pos="903"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Amounts of Awards. </w:t>
      </w:r>
      <w:r>
        <w:rPr>
          <w:rFonts w:ascii="Arial" w:cs="Arial" w:eastAsia="Arial" w:hAnsi="Arial"/>
          <w:sz w:val="18"/>
          <w:szCs w:val="18"/>
          <w:color w:val="auto"/>
        </w:rPr>
        <w:t>In conjunction with the establishment of performance targets for a fiscal year, the Committee shall adopt an objective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formula (on the basis of percentages of Participants’ salaries, shares in a bonus pool or otherwise) for computing the respective amounts payable under the Plan to Participants if and to the extent that the performance targets are attained. Such formula shall comply with the requirements applicable to performance-based compensation plans under Section 162(m) of the Code and, to the extent based on percentages of a bonus pool, such percentages shall not exceed 100% in the aggregate.</w:t>
      </w:r>
    </w:p>
    <w:p>
      <w:pPr>
        <w:spacing w:after="0" w:line="188" w:lineRule="exact"/>
        <w:rPr>
          <w:rFonts w:ascii="Arial" w:cs="Arial" w:eastAsia="Arial" w:hAnsi="Arial"/>
          <w:sz w:val="18"/>
          <w:szCs w:val="18"/>
          <w:i w:val="1"/>
          <w:iCs w:val="1"/>
          <w:color w:val="auto"/>
        </w:rPr>
      </w:pPr>
    </w:p>
    <w:p>
      <w:pPr>
        <w:jc w:val="both"/>
        <w:ind w:right="200" w:firstLine="656"/>
        <w:spacing w:after="0" w:line="264" w:lineRule="auto"/>
        <w:tabs>
          <w:tab w:leader="none" w:pos="893"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 of Awards. </w:t>
      </w:r>
      <w:r>
        <w:rPr>
          <w:rFonts w:ascii="Arial" w:cs="Arial" w:eastAsia="Arial" w:hAnsi="Arial"/>
          <w:sz w:val="18"/>
          <w:szCs w:val="18"/>
          <w:color w:val="auto"/>
        </w:rPr>
        <w:t>Awards will be payable to Participants in cash each year upon prior written certification by the Committee of attainment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specified performance targets for the preceding fiscal year and shall in no event be payable after March 15th of the year following the year in which the award is no longer subject to a substantial risk of forfeiture (within the meaning of Section 409A of the Code).</w:t>
      </w:r>
    </w:p>
    <w:p>
      <w:pPr>
        <w:spacing w:after="0" w:line="181" w:lineRule="exact"/>
        <w:rPr>
          <w:rFonts w:ascii="Arial" w:cs="Arial" w:eastAsia="Arial" w:hAnsi="Arial"/>
          <w:sz w:val="18"/>
          <w:szCs w:val="18"/>
          <w:i w:val="1"/>
          <w:iCs w:val="1"/>
          <w:color w:val="auto"/>
        </w:rPr>
      </w:pPr>
    </w:p>
    <w:p>
      <w:pPr>
        <w:ind w:right="660" w:firstLine="656"/>
        <w:spacing w:after="0" w:line="342" w:lineRule="auto"/>
        <w:tabs>
          <w:tab w:leader="none" w:pos="903"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Negative Discretion. </w:t>
      </w:r>
      <w:r>
        <w:rPr>
          <w:rFonts w:ascii="Arial" w:cs="Arial" w:eastAsia="Arial" w:hAnsi="Arial"/>
          <w:sz w:val="16"/>
          <w:szCs w:val="16"/>
          <w:color w:val="auto"/>
        </w:rPr>
        <w:t>Notwithstanding the attainment by the Company of the specified performance targets, the Committee shall have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which need not be exercised uniformly among the Participants, to reduce or eliminate the award that would be otherwise paid.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2" w:name="page143"/>
    <w:bookmarkEnd w:id="142"/>
    <w:p>
      <w:pPr>
        <w:ind w:firstLine="656"/>
        <w:spacing w:after="0" w:line="308" w:lineRule="auto"/>
        <w:tabs>
          <w:tab w:leader="none" w:pos="893" w:val="left"/>
        </w:tabs>
        <w:numPr>
          <w:ilvl w:val="0"/>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Guidelines. </w:t>
      </w:r>
      <w:r>
        <w:rPr>
          <w:rFonts w:ascii="Arial" w:cs="Arial" w:eastAsia="Arial" w:hAnsi="Arial"/>
          <w:sz w:val="17"/>
          <w:szCs w:val="17"/>
          <w:color w:val="auto"/>
        </w:rPr>
        <w:t>The Committee may adopt from time to time written policies for its implementation of this Article X. Such guidelines shall reflect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intention of the Company that all payments hereunder qualify as performance-based compensation under Section 162(m) of the Code.</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10.03 Non-Exclusive Arrangement. </w:t>
      </w:r>
      <w:r>
        <w:rPr>
          <w:rFonts w:ascii="Arial" w:cs="Arial" w:eastAsia="Arial" w:hAnsi="Arial"/>
          <w:sz w:val="18"/>
          <w:szCs w:val="18"/>
          <w:color w:val="auto"/>
        </w:rPr>
        <w:t>The adoption and operation of this Article X shall not preclude the Board or the Committee from approving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incentive compensation arrangements for the benefit of individuals who are Participants hereunder as the Board or Committee, as the case may be, deems appropriate and in the best interests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APPLICABLE TO ALL AWARDS GRANTED UNDER THE PLAN</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11.01 Plan Provisions Control Award Terms; Successors. </w:t>
      </w:r>
      <w:r>
        <w:rPr>
          <w:rFonts w:ascii="Arial" w:cs="Arial" w:eastAsia="Arial" w:hAnsi="Arial"/>
          <w:sz w:val="17"/>
          <w:szCs w:val="17"/>
          <w:color w:val="auto"/>
        </w:rPr>
        <w:t>The terms of the Plan shall govern all Awards granted under the Plan, and in no event shall</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have the power to grant any Award under the Plan the terms of which are contrary to any of the provisions of the Plan. In the event any provision of any Award granted under the Plan shall conflict with any term in the Plan as constituted on the Date of Grant of such Award, the term in the Plan as constituted on the Date of Grant of such Award shall control.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11.02 Award Agreement. </w:t>
      </w:r>
      <w:r>
        <w:rPr>
          <w:rFonts w:ascii="Arial" w:cs="Arial" w:eastAsia="Arial" w:hAnsi="Arial"/>
          <w:sz w:val="18"/>
          <w:szCs w:val="18"/>
          <w:color w:val="auto"/>
        </w:rPr>
        <w:t>No person shall have any rights under any Award granted under the Plan unless and until the Company and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such Award shall have been granted shall have executed and delivered an Award Agreement or the Participant shall have received and acknowledged notice of the Award authorized by the Committee expressly granting the Award to such person and containing provisions setting forth the terms of the Award.</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11.03 Modification of Award After Grant. </w:t>
      </w:r>
      <w:r>
        <w:rPr>
          <w:rFonts w:ascii="Arial" w:cs="Arial" w:eastAsia="Arial" w:hAnsi="Arial"/>
          <w:sz w:val="17"/>
          <w:szCs w:val="17"/>
          <w:color w:val="auto"/>
        </w:rPr>
        <w:t>No Award granted under the Plan to a Participant may be modified (unless such modification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decrease the value of that Award) after its Date of Grant except by express written agreement between the Company and such Participant, provided that any such change (a) may not be inconsistent with the terms of the Plan, (b) shall be approved by the Committee, and (c) shall be done in a manner that does not result in the acceleration of income or the imposition of an additional tax under Section 409A of the Code.</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11.04 Limitation on Transfer. </w:t>
      </w:r>
      <w:r>
        <w:rPr>
          <w:rFonts w:ascii="Arial" w:cs="Arial" w:eastAsia="Arial" w:hAnsi="Arial"/>
          <w:sz w:val="16"/>
          <w:szCs w:val="16"/>
          <w:color w:val="auto"/>
        </w:rPr>
        <w:t>Except as provided in Section 7.01(c) in the case of Restricted Shares, a Participant’s rights and interest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assigned or transferred other than by will or the laws of descent and distribution and, during the lifetime of a Participant, only the Participant personally (or the Participant’s personal representative) may exercise rights under the Plan. The Participant’s Beneficiary may exercise the Participant’s rights to the extent they are exercisable under the Plan following the death of the Participant. Notwithstanding the foregoing, the Committee may grant Non-Qualified Stock Options that are transferable, without payment of consideration, to immediate family members of the Participant, to trusts or partnerships for such family members, or to such other parties as the Committee may approve (as evidenced by the applicable Award Agreement or an amendment thereto), and the Committee may also amend outstanding Non-Qualified Stock Options to provide for such transferability.</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11.05 Withholding Taxes. </w:t>
      </w:r>
      <w:r>
        <w:rPr>
          <w:rFonts w:ascii="Arial" w:cs="Arial" w:eastAsia="Arial" w:hAnsi="Arial"/>
          <w:sz w:val="18"/>
          <w:szCs w:val="18"/>
          <w:color w:val="auto"/>
        </w:rPr>
        <w:t>The Company shall be entitled, if the Committee deems it necessary or desirable, to withhold (or secure payment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 lieu of withholding) the minimum amount of any withholding or other tax required by law to be withheld or paid by the Company with respect to any amount payable and/or shares issuable under such Participant’s Award or with respect to any income recognized upon a disqualifying disposition of shares received pursuant to the exercise of an Incentive Stock Option, and the Company may defer payment of cash or issuance of shares upon exercise or vesting of an Award unless indemnified to its satisfaction against any liability for any such tax. With the approval of the Committee, the Participant may elect to meet his or her withholding requirement (i) by having withheld from such Award at the appropriate time that number of shares of Common Stock, rounded up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43" w:name="page144"/>
    <w:bookmarkEnd w:id="143"/>
    <w:p>
      <w:pPr>
        <w:ind w:right="80"/>
        <w:spacing w:after="0" w:line="259" w:lineRule="auto"/>
        <w:rPr>
          <w:sz w:val="20"/>
          <w:szCs w:val="20"/>
          <w:color w:val="auto"/>
        </w:rPr>
      </w:pPr>
      <w:r>
        <w:rPr>
          <w:rFonts w:ascii="Arial" w:cs="Arial" w:eastAsia="Arial" w:hAnsi="Arial"/>
          <w:sz w:val="18"/>
          <w:szCs w:val="18"/>
          <w:color w:val="auto"/>
        </w:rPr>
        <w:t>the next whole share, the Fair Market Value of which is equal to the amount of withholding taxes due (the amount of withholding that may be satisfied in this manner may be limited by the Committee, in its discretion, in order to avoid adverse financial accounting consequences to the Company), (ii) by direct payment to the Company in cash of the minimum amount of any taxes required to be withheld with respect to such Award or (iii) by a combination of withholding such shares and paying cash.</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11.06 Surrender of Awards. </w:t>
      </w:r>
      <w:r>
        <w:rPr>
          <w:rFonts w:ascii="Arial" w:cs="Arial" w:eastAsia="Arial" w:hAnsi="Arial"/>
          <w:sz w:val="18"/>
          <w:szCs w:val="18"/>
          <w:color w:val="auto"/>
        </w:rPr>
        <w:t>Any award granted under the Plan may be surrendered to the Company for cancellation on such terms as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Participant approve.</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 xml:space="preserve">11.07 Cancellation of Awards. </w:t>
      </w:r>
      <w:r>
        <w:rPr>
          <w:rFonts w:ascii="Arial" w:cs="Arial" w:eastAsia="Arial" w:hAnsi="Arial"/>
          <w:sz w:val="16"/>
          <w:szCs w:val="16"/>
          <w:color w:val="auto"/>
        </w:rPr>
        <w:t>Unless the Award Agreement specifies otherwise, the Committee may cancel, rescind, suspend, withhold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limit or restrict any unexpired, unpaid, or deferred Awards at any time if the Participant is not in compliance with all applicable provisions of the Award Agreement and the Plan, or if the Participant engages in any “Detrimental Activity.” For purposes of this Section 11.07, “Detrimental Activity” shall include:</w:t>
      </w:r>
    </w:p>
    <w:p>
      <w:pPr>
        <w:ind w:firstLine="8"/>
        <w:spacing w:after="0" w:line="281" w:lineRule="auto"/>
        <w:tabs>
          <w:tab w:leader="none" w:pos="2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(ii) the disclosure to anyone outside the Company, or the use in other than the Company’s business, without prior written authorization from the Company, of any confidential information or material relating to the business of the Company, acquired by the Participant either during or after employment with the Company; (iii) any attempt directly or indirectly to induce any employee of the Company to be employed or perform services elsewhere or any attempt directly or indirectly to solicit the trade or business of any current or prospective customer, supplier or partner of the Company; or</w:t>
      </w:r>
    </w:p>
    <w:p>
      <w:pPr>
        <w:spacing w:after="0" w:line="4" w:lineRule="exact"/>
        <w:rPr>
          <w:rFonts w:ascii="Arial" w:cs="Arial" w:eastAsia="Arial" w:hAnsi="Arial"/>
          <w:sz w:val="16"/>
          <w:szCs w:val="16"/>
          <w:color w:val="auto"/>
        </w:rPr>
      </w:pPr>
    </w:p>
    <w:p>
      <w:pPr>
        <w:ind w:right="60" w:firstLine="8"/>
        <w:spacing w:after="0" w:line="290" w:lineRule="auto"/>
        <w:tabs>
          <w:tab w:leader="none" w:pos="30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other conduct or act determined to be injurious, detrimental or prejudicial to any interest of the Company. Notwithstanding anything in this Plan or in any Award Agreement to the contrary, this Section 11.07 shall be of no force and effect on or following the occurrence of a Change in Control.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11.08 Adjustments to Reflect Capital Changes.</w:t>
      </w:r>
    </w:p>
    <w:p>
      <w:pPr>
        <w:spacing w:after="0" w:line="225" w:lineRule="exact"/>
        <w:rPr>
          <w:sz w:val="20"/>
          <w:szCs w:val="20"/>
          <w:color w:val="auto"/>
        </w:rPr>
      </w:pPr>
    </w:p>
    <w:p>
      <w:pPr>
        <w:ind w:firstLine="656"/>
        <w:spacing w:after="0" w:line="273" w:lineRule="auto"/>
        <w:tabs>
          <w:tab w:leader="none" w:pos="903" w:val="left"/>
        </w:tabs>
        <w:numPr>
          <w:ilvl w:val="0"/>
          <w:numId w:val="6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Recapitalization. </w:t>
      </w:r>
      <w:r>
        <w:rPr>
          <w:rFonts w:ascii="Arial" w:cs="Arial" w:eastAsia="Arial" w:hAnsi="Arial"/>
          <w:sz w:val="17"/>
          <w:szCs w:val="17"/>
          <w:color w:val="auto"/>
        </w:rPr>
        <w:t>The number and kind of shares subject to outstanding Awards, the Exercise Price for such shares, the number and kind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Awards subsequently granted under the Plan, the maximum number of shares in respect of which Awards can be made to any Participant in any calendar year and the Performance Goals and Award Periods applicable to outstanding Awards shall be appropriately adjusted to reflect any extraordinary dividend, stock dividend, stock split, or share combination or any recapitalization, merger, consolidation, exchange of shares, liquidation or dissolution of the Company or other change in capitalization with a similar substantive effect upon the Plan or the Awards granted under the Plan. The Committee shall have the power and sole discretion to determine the amount of the adjustment to be made in each case.</w:t>
      </w:r>
    </w:p>
    <w:p>
      <w:pPr>
        <w:spacing w:after="0" w:line="178" w:lineRule="exact"/>
        <w:rPr>
          <w:rFonts w:ascii="Arial" w:cs="Arial" w:eastAsia="Arial" w:hAnsi="Arial"/>
          <w:sz w:val="17"/>
          <w:szCs w:val="17"/>
          <w:i w:val="1"/>
          <w:iCs w:val="1"/>
          <w:color w:val="auto"/>
        </w:rPr>
      </w:pPr>
    </w:p>
    <w:p>
      <w:pPr>
        <w:ind w:right="40" w:firstLine="656"/>
        <w:spacing w:after="0" w:line="253" w:lineRule="auto"/>
        <w:tabs>
          <w:tab w:leader="none" w:pos="903"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Options to Purchase Shares or Stock of Acquired Companies. </w:t>
      </w:r>
      <w:r>
        <w:rPr>
          <w:rFonts w:ascii="Arial" w:cs="Arial" w:eastAsia="Arial" w:hAnsi="Arial"/>
          <w:sz w:val="18"/>
          <w:szCs w:val="18"/>
          <w:color w:val="auto"/>
        </w:rPr>
        <w:t>After any Change in Control, or any other merger, reorganization,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 sale or exchange, transfer of assets or other transaction having similar effect involving the Company, in which the Company or a Subsidiary shall be a surviving corporation, the Committee may grant Options or other Awards under the provisions of the Plan, pursuant to Section 424 of the Code or as is otherwise permitted under the Code, in full or partial replacement of or substitution for old stock options granted under a plan of another party to the merger whose shares of stock subject to the old options may no longer be issued following the Change in Control or other such transaction. The manner of application of the foregoing provisions to such options and any appropriate adjustments in the terms of such stock options shall be determined by the Committee in its sole discretion. Any such adjustments may provide for the elimination of any fractional shares which might otherwise become subject to any Options. The foregoing shall not be deemed to preclude the Company from assuming or substituting for stock options of acquired companies other than pursuant to this Plan.</w:t>
      </w:r>
    </w:p>
    <w:p>
      <w:pPr>
        <w:spacing w:after="0" w:line="19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11.09 Legal Compliance. </w:t>
      </w:r>
      <w:r>
        <w:rPr>
          <w:rFonts w:ascii="Arial" w:cs="Arial" w:eastAsia="Arial" w:hAnsi="Arial"/>
          <w:sz w:val="18"/>
          <w:szCs w:val="18"/>
          <w:color w:val="auto"/>
        </w:rPr>
        <w:t>Shares of Common Stock shall not be issued hereunder unless the issuance and delivery of such shares shall comply with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and shall be further subject to the approval of counsel for the Company with respect to such compliance.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44" w:name="page145"/>
    <w:bookmarkEnd w:id="144"/>
    <w:p>
      <w:pPr>
        <w:ind w:firstLine="648"/>
        <w:spacing w:after="0" w:line="276" w:lineRule="auto"/>
        <w:rPr>
          <w:sz w:val="20"/>
          <w:szCs w:val="20"/>
          <w:color w:val="auto"/>
        </w:rPr>
      </w:pPr>
      <w:r>
        <w:rPr>
          <w:rFonts w:ascii="Arial" w:cs="Arial" w:eastAsia="Arial" w:hAnsi="Arial"/>
          <w:sz w:val="17"/>
          <w:szCs w:val="17"/>
          <w:i w:val="1"/>
          <w:iCs w:val="1"/>
          <w:color w:val="auto"/>
        </w:rPr>
        <w:t xml:space="preserve">11.10 No Right to Employment. </w:t>
      </w:r>
      <w:r>
        <w:rPr>
          <w:rFonts w:ascii="Arial" w:cs="Arial" w:eastAsia="Arial" w:hAnsi="Arial"/>
          <w:sz w:val="17"/>
          <w:szCs w:val="17"/>
          <w:color w:val="auto"/>
        </w:rPr>
        <w:t>No Participant or other person shall have any claim of right to be granted an Award under the Plan. Neither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nor any action taken hereunder shall be construed as giving any Participant any right to be retained in the service of the Company or any of its Subsidiaries. 11.11 Awards Not Includable for Benefit Purposes. Payments received by a Participant pursuant to the provisions of the Plan shall not be included in the determination of benefits under any pension, group insurance or other benefit plan applicable to the Participant which is maintained by the Company or any of its Subsidiaries, except as may be provided under the terms of such plans or determined by the Board.</w:t>
      </w:r>
    </w:p>
    <w:p>
      <w:pPr>
        <w:spacing w:after="0" w:line="17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11.12 Governing Law. </w:t>
      </w:r>
      <w:r>
        <w:rPr>
          <w:rFonts w:ascii="Arial" w:cs="Arial" w:eastAsia="Arial" w:hAnsi="Arial"/>
          <w:sz w:val="18"/>
          <w:szCs w:val="18"/>
          <w:color w:val="auto"/>
        </w:rPr>
        <w:t>All determinations made and actions taken pursuant to the Plan shall be governed by the laws of the Commonwealth of</w:t>
      </w:r>
      <w:r>
        <w:rPr>
          <w:rFonts w:ascii="Arial" w:cs="Arial" w:eastAsia="Arial" w:hAnsi="Arial"/>
          <w:sz w:val="18"/>
          <w:szCs w:val="18"/>
          <w:i w:val="1"/>
          <w:iCs w:val="1"/>
          <w:color w:val="auto"/>
        </w:rPr>
        <w:t xml:space="preserve"> </w:t>
      </w:r>
      <w:r>
        <w:rPr>
          <w:rFonts w:ascii="Arial" w:cs="Arial" w:eastAsia="Arial" w:hAnsi="Arial"/>
          <w:sz w:val="18"/>
          <w:szCs w:val="18"/>
          <w:color w:val="auto"/>
        </w:rPr>
        <w:t>Pennsylvania, other than the conflict of laws provisions thereof, and construed in accordance therewith.</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i w:val="1"/>
          <w:iCs w:val="1"/>
          <w:color w:val="auto"/>
        </w:rPr>
        <w:t xml:space="preserve">11.13 No Strict Construction. </w:t>
      </w:r>
      <w:r>
        <w:rPr>
          <w:rFonts w:ascii="Arial" w:cs="Arial" w:eastAsia="Arial" w:hAnsi="Arial"/>
          <w:sz w:val="17"/>
          <w:szCs w:val="17"/>
          <w:color w:val="auto"/>
        </w:rPr>
        <w:t>No rule of strict construction shall be implied against the Company, the Committee or any other person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interpretation of any of the terms of the Plan, any Award granted under the Plan or any rule or procedure established by the Committee.</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11.14 Captions. </w:t>
      </w:r>
      <w:r>
        <w:rPr>
          <w:rFonts w:ascii="Arial" w:cs="Arial" w:eastAsia="Arial" w:hAnsi="Arial"/>
          <w:sz w:val="18"/>
          <w:szCs w:val="18"/>
          <w:color w:val="auto"/>
        </w:rPr>
        <w:t>The captions (i.e., all Section headings) used in the Plan are for convenience only, do not constitute a part of the Plan, and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to limit, characterize or affect in any way any provisions of the Plan, and all provisions of the Plan shall be construed as if no captions had been used in the Plan.</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11.15 Severability. </w:t>
      </w:r>
      <w:r>
        <w:rPr>
          <w:rFonts w:ascii="Arial" w:cs="Arial" w:eastAsia="Arial" w:hAnsi="Arial"/>
          <w:sz w:val="18"/>
          <w:szCs w:val="18"/>
          <w:color w:val="auto"/>
        </w:rPr>
        <w:t>Whenever possible, each provision in the Plan and every Award at any time granted under the Plan shall be interpreted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such Award and every other Award at any time granted under the Plan shall remain in full force and effect.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11.16 Amendment and Termination.</w:t>
      </w:r>
    </w:p>
    <w:p>
      <w:pPr>
        <w:spacing w:after="0" w:line="225" w:lineRule="exact"/>
        <w:rPr>
          <w:sz w:val="20"/>
          <w:szCs w:val="20"/>
          <w:color w:val="auto"/>
        </w:rPr>
      </w:pPr>
    </w:p>
    <w:p>
      <w:pPr>
        <w:ind w:right="60" w:firstLine="656"/>
        <w:spacing w:after="0" w:line="270" w:lineRule="auto"/>
        <w:tabs>
          <w:tab w:leader="none" w:pos="903" w:val="left"/>
        </w:tabs>
        <w:numPr>
          <w:ilvl w:val="0"/>
          <w:numId w:val="6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Board shall have complete power and authority to amend the Plan at any time; provided, that no termination or amendment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may, without the consent of the Participant to whom any Award shall theretofore have been granted under the Plan, materially adversely affect the right of such individual under such Award; and provided further, that, except as provided under Section 11.08 of the Plan, no such alteration or amendment of the Plan shall, without approval by the stockholders of the Company (i) increase the total number of shares of Common Stock which may be issued or delivered under the Plan, (ii) increase the total number of shares which may be covered by Awards to any one Participant or (iii) reduce the Exercise Price of an outstanding Option or of an outstanding Stock Appreciation Right, (iv) cancel an outstanding Option or Stock Appreciation Right in exchange for other Options or Stock Appreciation Rights with an Exercise Price that is less than the Exercise Price of the cancelled Option or the cancelled Stock Appreciation Right, as applicable, or (v) cancel an outstanding Option or an outstanding Stock Appreciation Right with an Exercise Price that is less than the Fair Market Value of a Share on the date of cancellation in exchange for cash or another Award.</w:t>
      </w:r>
    </w:p>
    <w:p>
      <w:pPr>
        <w:spacing w:after="0" w:line="181" w:lineRule="exact"/>
        <w:rPr>
          <w:rFonts w:ascii="Arial" w:cs="Arial" w:eastAsia="Arial" w:hAnsi="Arial"/>
          <w:sz w:val="17"/>
          <w:szCs w:val="17"/>
          <w:i w:val="1"/>
          <w:iCs w:val="1"/>
          <w:color w:val="auto"/>
        </w:rPr>
      </w:pPr>
    </w:p>
    <w:p>
      <w:pPr>
        <w:ind w:right="180" w:firstLine="656"/>
        <w:spacing w:after="0" w:line="259" w:lineRule="auto"/>
        <w:tabs>
          <w:tab w:leader="none" w:pos="903"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Board shall have the right and the power to terminate the Plan at any time. No Award shall be granted under the Plan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Plan, but the termination of the Plan shall not have any other effect and any Award outstanding at the time of the termination of the Plan may be exercised after termination of the Plan at any time prior to the expiration date of such Award to the same extent such Award would have been exercisable had the Plan not been terminated.</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11.17 Employees Based Outside of the United States. </w:t>
      </w:r>
      <w:r>
        <w:rPr>
          <w:rFonts w:ascii="Arial" w:cs="Arial" w:eastAsia="Arial" w:hAnsi="Arial"/>
          <w:sz w:val="18"/>
          <w:szCs w:val="18"/>
          <w:color w:val="auto"/>
        </w:rPr>
        <w:t>Notwithstanding any provision of the Plan to the contrary, in order to comply with the laws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countries in which the Company and its Subsidiaries operate or have employees or directors, the Board, in its sole discretion, shall have the power and authority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45" w:name="page146"/>
    <w:bookmarkEnd w:id="145"/>
    <w:p>
      <w:pPr>
        <w:ind w:left="900" w:hanging="24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which Subsidiaries shall be covered by the Plan;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which employees or directors outside the United States are eligible to participate in the Plan;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Modify the terms and conditions of any Award granted to employees or directors outside the United States to comply with applicable foreign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11" w:lineRule="exact"/>
        <w:rPr>
          <w:sz w:val="20"/>
          <w:szCs w:val="20"/>
          <w:color w:val="auto"/>
        </w:rPr>
      </w:pPr>
    </w:p>
    <w:p>
      <w:pPr>
        <w:jc w:val="both"/>
        <w:ind w:right="220" w:firstLine="656"/>
        <w:spacing w:after="0" w:line="264" w:lineRule="auto"/>
        <w:tabs>
          <w:tab w:leader="none" w:pos="9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11.17 by the Board shall be attached to this Plan document as appendices; and</w:t>
      </w:r>
    </w:p>
    <w:p>
      <w:pPr>
        <w:spacing w:after="0" w:line="181" w:lineRule="exact"/>
        <w:rPr>
          <w:rFonts w:ascii="Arial" w:cs="Arial" w:eastAsia="Arial" w:hAnsi="Arial"/>
          <w:sz w:val="18"/>
          <w:szCs w:val="18"/>
          <w:color w:val="auto"/>
        </w:rPr>
      </w:pPr>
    </w:p>
    <w:p>
      <w:pPr>
        <w:ind w:right="220" w:firstLine="656"/>
        <w:spacing w:after="0" w:line="264" w:lineRule="auto"/>
        <w:tabs>
          <w:tab w:leader="none" w:pos="8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Notwithstanding the above, the Board may not take any actions hereunder, and no Awards shall be granted, that would violate the Exchange Act, the Code, any securities law, or governing statute or any other applicable law.</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11.18 Code Section 409A Compliance. </w:t>
      </w:r>
      <w:r>
        <w:rPr>
          <w:rFonts w:ascii="Arial" w:cs="Arial" w:eastAsia="Arial" w:hAnsi="Arial"/>
          <w:sz w:val="18"/>
          <w:szCs w:val="18"/>
          <w:color w:val="auto"/>
        </w:rPr>
        <w:t>Notwithstanding any provision of the Plan, to the extent that any Award would be subject to Section 409A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no such Award may be granted if it would fail to comply with the requirements set forth in Section 409A of the Code. To the extent that the Committee determines that the Plan or any Award is subject to Section 409A of the Code and fails to comply with the requirements of Section 409A of the Code, notwithstanding anything to the contrary contained in the Plan or in any Award Agreement, the Committee, reserves the right to amend or terminate the Plan and/or amend, restructure, terminate or replace the Award in order to cause the Award to either not be subject to Section 409A of the Code or to comply with the applicable provisions of such section.</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AMENDMENT NO. 1 TO CREDIT AGREEMENT</w:t>
      </w:r>
    </w:p>
    <w:p>
      <w:pPr>
        <w:spacing w:after="0" w:line="229"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b w:val="1"/>
          <w:bCs w:val="1"/>
          <w:color w:val="auto"/>
        </w:rPr>
        <w:t>AMENDMENT NO. 1</w:t>
      </w:r>
      <w:r>
        <w:rPr>
          <w:rFonts w:ascii="Arial" w:cs="Arial" w:eastAsia="Arial" w:hAnsi="Arial"/>
          <w:sz w:val="20"/>
          <w:szCs w:val="20"/>
          <w:color w:val="auto"/>
        </w:rPr>
        <w:t>, dated as of December 7, 2012 (this “</w:t>
      </w:r>
      <w:r>
        <w:rPr>
          <w:rFonts w:ascii="Arial" w:cs="Arial" w:eastAsia="Arial" w:hAnsi="Arial"/>
          <w:sz w:val="20"/>
          <w:szCs w:val="20"/>
          <w:u w:val="single" w:color="auto"/>
          <w:color w:val="auto"/>
        </w:rPr>
        <w:t>Amendment</w:t>
      </w:r>
      <w:r>
        <w:rPr>
          <w:rFonts w:ascii="Arial" w:cs="Arial" w:eastAsia="Arial" w:hAnsi="Arial"/>
          <w:sz w:val="20"/>
          <w:szCs w:val="20"/>
          <w:color w:val="auto"/>
        </w:rPr>
        <w:t>”), to the Credit Agreement dated as of November</w:t>
      </w:r>
      <w:r>
        <w:rPr>
          <w:rFonts w:ascii="Arial" w:cs="Arial" w:eastAsia="Arial" w:hAnsi="Arial"/>
          <w:sz w:val="20"/>
          <w:szCs w:val="20"/>
          <w:b w:val="1"/>
          <w:bCs w:val="1"/>
          <w:color w:val="auto"/>
        </w:rPr>
        <w:t xml:space="preserve"> </w:t>
      </w:r>
      <w:r>
        <w:rPr>
          <w:rFonts w:ascii="Arial" w:cs="Arial" w:eastAsia="Arial" w:hAnsi="Arial"/>
          <w:sz w:val="20"/>
          <w:szCs w:val="20"/>
          <w:color w:val="auto"/>
        </w:rPr>
        <w:t>14, 2011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Mylan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financial institutions holding Loans or Commitments thereunder from time to time, Bank of America,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Lenders, and the other agents and parties named therein. Capitalized terms used and not otherwise defined herein shall have the meanings assigned to them in the Credit Agreement.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Borrower desires that certain amendments (the “</w:t>
      </w:r>
      <w:r>
        <w:rPr>
          <w:rFonts w:ascii="Arial" w:cs="Arial" w:eastAsia="Arial" w:hAnsi="Arial"/>
          <w:sz w:val="18"/>
          <w:szCs w:val="18"/>
          <w:u w:val="single" w:color="auto"/>
          <w:color w:val="auto"/>
        </w:rPr>
        <w:t>Proposed Amendments</w:t>
      </w:r>
      <w:r>
        <w:rPr>
          <w:rFonts w:ascii="Arial" w:cs="Arial" w:eastAsia="Arial" w:hAnsi="Arial"/>
          <w:sz w:val="18"/>
          <w:szCs w:val="18"/>
          <w:color w:val="auto"/>
        </w:rPr>
        <w:t>”) be made to the Credit Agreement;</w:t>
      </w:r>
    </w:p>
    <w:p>
      <w:pPr>
        <w:spacing w:after="0" w:line="239" w:lineRule="exact"/>
        <w:rPr>
          <w:sz w:val="20"/>
          <w:szCs w:val="20"/>
          <w:color w:val="auto"/>
        </w:rPr>
      </w:pPr>
    </w:p>
    <w:p>
      <w:pPr>
        <w:ind w:right="100" w:firstLine="1297"/>
        <w:spacing w:after="0" w:line="260" w:lineRule="auto"/>
        <w:rPr>
          <w:sz w:val="20"/>
          <w:szCs w:val="20"/>
          <w:color w:val="auto"/>
        </w:rPr>
      </w:pPr>
      <w:r>
        <w:rPr>
          <w:rFonts w:ascii="Arial" w:cs="Arial" w:eastAsia="Arial" w:hAnsi="Arial"/>
          <w:sz w:val="20"/>
          <w:szCs w:val="20"/>
          <w:color w:val="auto"/>
        </w:rPr>
        <w:t>WHEREAS, Section 9.02 of the Credit Agreement permits the Proposed Amendments to become effective with the consent of the Borrower and the Required Lenders;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the Required Lenders are willing to consent to the Proposed Amendments;</w:t>
      </w:r>
    </w:p>
    <w:p>
      <w:pPr>
        <w:spacing w:after="0" w:line="216" w:lineRule="exact"/>
        <w:rPr>
          <w:sz w:val="20"/>
          <w:szCs w:val="20"/>
          <w:color w:val="auto"/>
        </w:rPr>
      </w:pPr>
    </w:p>
    <w:p>
      <w:pPr>
        <w:ind w:right="400" w:firstLine="1297"/>
        <w:spacing w:after="0" w:line="316"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24" w:lineRule="exact"/>
        <w:rPr>
          <w:sz w:val="20"/>
          <w:szCs w:val="20"/>
          <w:color w:val="auto"/>
        </w:rPr>
      </w:pPr>
    </w:p>
    <w:p>
      <w:pPr>
        <w:ind w:right="240" w:firstLine="1297"/>
        <w:spacing w:after="0" w:line="267"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Amendment to Credit Agreement</w:t>
      </w:r>
      <w:r>
        <w:rPr>
          <w:rFonts w:ascii="Arial" w:cs="Arial" w:eastAsia="Arial" w:hAnsi="Arial"/>
          <w:sz w:val="20"/>
          <w:szCs w:val="20"/>
          <w:color w:val="auto"/>
        </w:rPr>
        <w:t>. Section 6.02(x) of the Credit Agreement is, as of the Amendment Effective Date (as defined below), hereby deleted and replaced in its entirety with the following:</w:t>
      </w:r>
    </w:p>
    <w:p>
      <w:pPr>
        <w:spacing w:after="0" w:line="170" w:lineRule="exact"/>
        <w:rPr>
          <w:sz w:val="20"/>
          <w:szCs w:val="20"/>
          <w:color w:val="auto"/>
        </w:rPr>
      </w:pPr>
    </w:p>
    <w:p>
      <w:pPr>
        <w:jc w:val="both"/>
        <w:ind w:left="660" w:firstLine="1297"/>
        <w:spacing w:after="0" w:line="275" w:lineRule="auto"/>
        <w:rPr>
          <w:sz w:val="20"/>
          <w:szCs w:val="20"/>
          <w:color w:val="auto"/>
        </w:rPr>
      </w:pPr>
      <w:r>
        <w:rPr>
          <w:rFonts w:ascii="Arial" w:cs="Arial" w:eastAsia="Arial" w:hAnsi="Arial"/>
          <w:sz w:val="18"/>
          <w:szCs w:val="18"/>
          <w:color w:val="auto"/>
        </w:rPr>
        <w:t>“(x) Liens on the Collateral of the Loan Parties securing Indebtedness of the Loan Parties permitted by (A) Section 6.01(x) or (y) or (B) to the extent such Indebtedness was incurred during a Collateral Suspension Period, any other provision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-24130</wp:posOffset>
            </wp:positionV>
            <wp:extent cx="31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jc w:val="both"/>
        <w:ind w:left="660"/>
        <w:spacing w:after="0"/>
        <w:rPr>
          <w:sz w:val="20"/>
          <w:szCs w:val="20"/>
          <w:color w:val="auto"/>
        </w:rPr>
      </w:pPr>
      <w:r>
        <w:rPr>
          <w:rFonts w:ascii="Arial" w:cs="Arial" w:eastAsia="Arial" w:hAnsi="Arial"/>
          <w:sz w:val="20"/>
          <w:szCs w:val="20"/>
          <w:color w:val="auto"/>
        </w:rPr>
        <w:t xml:space="preserve">6.01 (it being understood that Indebtedness described in this subclause (B) need not be secured at the time such Indebtedness is incurred but may only be secured by Liens on the Collateral while the Obligations are secured by Liens on such Collateral) so long as, in each case, the holders of such Indebtedness, or a trustee or agent acting on their behalf, are parties to the Second Lien Intercreditor Agreement or, in the case of Indebtedness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6.01(y) or Indebtedness incurred during a Collateral Suspension Period, the First Lien Intercreditor Agreement;”</w:t>
      </w:r>
    </w:p>
    <w:p>
      <w:pPr>
        <w:spacing w:after="0" w:line="206"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6"/>
          <w:szCs w:val="16"/>
          <w:b w:val="1"/>
          <w:bCs w:val="1"/>
          <w:u w:val="single" w:color="auto"/>
          <w:color w:val="auto"/>
        </w:rPr>
        <w:t>Representations and Warranties, No Default</w:t>
      </w:r>
      <w:r>
        <w:rPr>
          <w:rFonts w:ascii="Arial" w:cs="Arial" w:eastAsia="Arial" w:hAnsi="Arial"/>
          <w:sz w:val="16"/>
          <w:szCs w:val="16"/>
          <w:color w:val="auto"/>
        </w:rPr>
        <w:t>. The Borrower hereby represents and warrants that:</w:t>
      </w:r>
    </w:p>
    <w:p>
      <w:pPr>
        <w:spacing w:after="0" w:line="231" w:lineRule="exact"/>
        <w:rPr>
          <w:sz w:val="20"/>
          <w:szCs w:val="20"/>
          <w:color w:val="auto"/>
        </w:rPr>
      </w:pPr>
    </w:p>
    <w:p>
      <w:pPr>
        <w:ind w:right="60" w:firstLine="1305"/>
        <w:spacing w:after="0" w:line="251" w:lineRule="auto"/>
        <w:tabs>
          <w:tab w:leader="none" w:pos="1696" w:val="left"/>
        </w:tabs>
        <w:numPr>
          <w:ilvl w:val="0"/>
          <w:numId w:val="72"/>
        </w:numPr>
        <w:rPr>
          <w:rFonts w:ascii="Arial" w:cs="Arial" w:eastAsia="Arial" w:hAnsi="Arial"/>
          <w:sz w:val="20"/>
          <w:szCs w:val="20"/>
          <w:color w:val="auto"/>
        </w:rPr>
      </w:pPr>
      <w:r>
        <w:rPr>
          <w:rFonts w:ascii="Arial" w:cs="Arial" w:eastAsia="Arial" w:hAnsi="Arial"/>
          <w:sz w:val="22"/>
          <w:szCs w:val="22"/>
          <w:color w:val="auto"/>
        </w:rPr>
        <w:t>the representations and warranties of the Borrower set forth in the Credit Agreement and the other Loan Documents are true and correct in all material respects (except that any representation and warranty that is qualified by materiality is true and correct in all respects) on and as of the Amendment Effective Date, except where any representation and warranty is expressly made as of a specific earlier date, such representation and warranty was true in all material respects as of any such earlier date</w:t>
      </w:r>
      <w:r>
        <w:rPr>
          <w:rFonts w:ascii="Arial" w:cs="Arial" w:eastAsia="Arial" w:hAnsi="Arial"/>
          <w:sz w:val="19"/>
          <w:szCs w:val="19"/>
          <w:color w:val="auto"/>
        </w:rPr>
        <w:t>; and</w:t>
      </w:r>
    </w:p>
    <w:p>
      <w:pPr>
        <w:spacing w:after="0" w:line="194" w:lineRule="exact"/>
        <w:rPr>
          <w:rFonts w:ascii="Arial" w:cs="Arial" w:eastAsia="Arial" w:hAnsi="Arial"/>
          <w:sz w:val="20"/>
          <w:szCs w:val="20"/>
          <w:color w:val="auto"/>
        </w:rPr>
      </w:pPr>
    </w:p>
    <w:p>
      <w:pPr>
        <w:ind w:left="1720" w:hanging="415"/>
        <w:spacing w:after="0"/>
        <w:tabs>
          <w:tab w:leader="none" w:pos="1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at the time of and after giving effect to this Amendment, no Default has occurred and is continuing.</w:t>
      </w:r>
    </w:p>
    <w:p>
      <w:pPr>
        <w:sectPr>
          <w:pgSz w:w="11900" w:h="16838" w:orient="portrait"/>
          <w:cols w:equalWidth="0" w:num="1">
            <w:col w:w="11420"/>
          </w:cols>
          <w:pgMar w:left="240" w:top="616"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firstLine="1297"/>
        <w:spacing w:after="0" w:line="267"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This Amendment will become effective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when, and only when, each of the following conditions precedent shall have been satisfied or waived:</w:t>
      </w:r>
    </w:p>
    <w:p>
      <w:pPr>
        <w:spacing w:after="0" w:line="170" w:lineRule="exact"/>
        <w:rPr>
          <w:sz w:val="20"/>
          <w:szCs w:val="20"/>
          <w:color w:val="auto"/>
        </w:rPr>
      </w:pPr>
    </w:p>
    <w:p>
      <w:pPr>
        <w:ind w:right="380" w:firstLine="1305"/>
        <w:spacing w:after="0" w:line="260" w:lineRule="auto"/>
        <w:tabs>
          <w:tab w:leader="none" w:pos="1696"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Administrative Agent shall have received executed signature pages hereto from Lenders constituting the Required Lenders, the Borrower and the Administrative Agent; and</w:t>
      </w:r>
    </w:p>
    <w:p>
      <w:pPr>
        <w:spacing w:after="0" w:line="176" w:lineRule="exact"/>
        <w:rPr>
          <w:rFonts w:ascii="Arial" w:cs="Arial" w:eastAsia="Arial" w:hAnsi="Arial"/>
          <w:sz w:val="20"/>
          <w:szCs w:val="20"/>
          <w:color w:val="auto"/>
        </w:rPr>
      </w:pPr>
    </w:p>
    <w:p>
      <w:pPr>
        <w:ind w:right="120" w:firstLine="1305"/>
        <w:spacing w:after="0" w:line="260" w:lineRule="auto"/>
        <w:tabs>
          <w:tab w:leader="none" w:pos="1707"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Administrative Agent shall have received an officer’s certificate of the Borrower to the effect that the representations and warranties set forth in Section 2 are true and correct.</w:t>
      </w:r>
    </w:p>
    <w:p>
      <w:pPr>
        <w:spacing w:after="0" w:line="171" w:lineRule="exact"/>
        <w:rPr>
          <w:sz w:val="20"/>
          <w:szCs w:val="20"/>
          <w:color w:val="auto"/>
        </w:rPr>
      </w:pPr>
    </w:p>
    <w:p>
      <w:pPr>
        <w:ind w:firstLine="1297"/>
        <w:spacing w:after="0" w:line="248"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transmission shall be effective as delivery of a manually executed counterpart hereof.</w:t>
      </w:r>
    </w:p>
    <w:p>
      <w:pPr>
        <w:spacing w:after="0" w:line="184" w:lineRule="exact"/>
        <w:rPr>
          <w:sz w:val="20"/>
          <w:szCs w:val="20"/>
          <w:color w:val="auto"/>
        </w:rPr>
      </w:pPr>
    </w:p>
    <w:p>
      <w:pPr>
        <w:ind w:firstLine="1297"/>
        <w:spacing w:after="0" w:line="248"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u w:val="single" w:color="auto"/>
          <w:color w:val="auto"/>
        </w:rPr>
        <w:t>Expenses.</w:t>
      </w:r>
      <w:r>
        <w:rPr>
          <w:rFonts w:ascii="Arial" w:cs="Arial" w:eastAsia="Arial" w:hAnsi="Arial"/>
          <w:sz w:val="20"/>
          <w:szCs w:val="20"/>
          <w:color w:val="auto"/>
        </w:rPr>
        <w:t xml:space="preserve"> The Borrower agrees to pay all reasonable costs and expenses of the Administrative Agent in connection with the preparation, execution and delivery of this Amendment and the other instruments and documents to be delivered hereunder, if any (including, without limitation, the reasonable fees and expenses of Cahill Gordon &amp; Reindel LLP, counsel for the Administrative Agent) in accordance with the terms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of the Credit Agreement.</w:t>
      </w:r>
    </w:p>
    <w:p>
      <w:pPr>
        <w:spacing w:after="0" w:line="184" w:lineRule="exact"/>
        <w:rPr>
          <w:sz w:val="20"/>
          <w:szCs w:val="20"/>
          <w:color w:val="auto"/>
        </w:rPr>
      </w:pPr>
    </w:p>
    <w:p>
      <w:pPr>
        <w:ind w:right="20" w:firstLine="1297"/>
        <w:spacing w:after="0" w:line="248"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Applicable Law</w:t>
      </w:r>
      <w:r>
        <w:rPr>
          <w:rFonts w:ascii="Arial" w:cs="Arial" w:eastAsia="Arial" w:hAnsi="Arial"/>
          <w:sz w:val="20"/>
          <w:szCs w:val="20"/>
          <w:color w:val="auto"/>
        </w:rPr>
        <w:t xml:space="preserve">. </w:t>
      </w:r>
      <w:r>
        <w:rPr>
          <w:rFonts w:ascii="Arial" w:cs="Arial" w:eastAsia="Arial" w:hAnsi="Arial"/>
          <w:sz w:val="20"/>
          <w:szCs w:val="20"/>
          <w:b w:val="1"/>
          <w:bCs w:val="1"/>
          <w:color w:val="auto"/>
        </w:rPr>
        <w:t>THIS AMENDMENT SHALL BE CONSTRUED IN ACCORDANCE WITH AND</w:t>
      </w:r>
      <w:r>
        <w:rPr>
          <w:rFonts w:ascii="Arial" w:cs="Arial" w:eastAsia="Arial" w:hAnsi="Arial"/>
          <w:sz w:val="20"/>
          <w:szCs w:val="20"/>
          <w:color w:val="auto"/>
        </w:rPr>
        <w:t xml:space="preserve"> </w:t>
      </w:r>
      <w:r>
        <w:rPr>
          <w:rFonts w:ascii="Arial" w:cs="Arial" w:eastAsia="Arial" w:hAnsi="Arial"/>
          <w:sz w:val="20"/>
          <w:szCs w:val="20"/>
          <w:b w:val="1"/>
          <w:bCs w:val="1"/>
          <w:color w:val="auto"/>
        </w:rPr>
        <w:t>GOVERNED BY THE LAW OF THE STATE OF NEW YORK (WITHOUT REGARD TO THE CONFLICT OF LAW PRINCIPLES THEREOF TO THE EXTENT THAT THE APPLICATION OF THE LAWS OF ANOTHER JURISDICTION WOULD BE REQUIRED THEREBY).</w:t>
      </w:r>
    </w:p>
    <w:p>
      <w:pPr>
        <w:spacing w:after="0" w:line="184" w:lineRule="exact"/>
        <w:rPr>
          <w:sz w:val="20"/>
          <w:szCs w:val="20"/>
          <w:color w:val="auto"/>
        </w:rPr>
      </w:pPr>
    </w:p>
    <w:p>
      <w:pPr>
        <w:ind w:right="360" w:firstLine="1297"/>
        <w:spacing w:after="0" w:line="267"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The headings of this Amendment are for purposes of reference only and shall not limit or otherwise affect the meaning hereof.</w:t>
      </w:r>
    </w:p>
    <w:p>
      <w:pPr>
        <w:spacing w:after="0" w:line="164" w:lineRule="exact"/>
        <w:rPr>
          <w:sz w:val="20"/>
          <w:szCs w:val="20"/>
          <w:color w:val="auto"/>
        </w:rPr>
      </w:pPr>
    </w:p>
    <w:p>
      <w:pPr>
        <w:ind w:right="40" w:firstLine="1297"/>
        <w:spacing w:after="0" w:line="262"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b w:val="1"/>
          <w:bCs w:val="1"/>
          <w:u w:val="single" w:color="auto"/>
          <w:color w:val="auto"/>
        </w:rPr>
        <w:t>Effect of Amendment</w:t>
      </w:r>
      <w:r>
        <w:rPr>
          <w:rFonts w:ascii="Arial" w:cs="Arial" w:eastAsia="Arial" w:hAnsi="Arial"/>
          <w:sz w:val="19"/>
          <w:szCs w:val="19"/>
          <w:color w:val="auto"/>
        </w:rPr>
        <w:t>. Except as expressly set forth herein, this Amendment shall not by implication or otherwise limit, impair, constitute a waiver of or otherwise affect the rights and remedies of the Lenders or the Administrative Agent under the Credit Agreement or any other Loan Documents, and shall not alter, modify, amend or in any way affect any of the terms, conditions, obligations, covenants or agreements contained in the Credit Agreement or any other provision of either such agreement or any other Loan Documents, all of which are ratified and affirmed in all respects and shall continue in full force and effect.</w:t>
      </w:r>
    </w:p>
    <w:p>
      <w:pPr>
        <w:sectPr>
          <w:pgSz w:w="11900" w:h="16838" w:orient="portrait"/>
          <w:cols w:equalWidth="0" w:num="1">
            <w:col w:w="11400"/>
          </w:cols>
          <w:pgMar w:left="240" w:top="131" w:right="259" w:bottom="1440" w:gutter="0" w:footer="0" w:header="0"/>
        </w:sectPr>
      </w:pPr>
    </w:p>
    <w:bookmarkStart w:id="148" w:name="page149"/>
    <w:bookmarkEnd w:id="148"/>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No. 1 to be duly executed by their respective 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MYLAN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Brian Byala</w:t>
      </w:r>
    </w:p>
    <w:p>
      <w:pPr>
        <w:spacing w:after="0" w:line="15" w:lineRule="exact"/>
        <w:rPr>
          <w:sz w:val="20"/>
          <w:szCs w:val="20"/>
          <w:color w:val="auto"/>
        </w:rPr>
      </w:pPr>
    </w:p>
    <w:p>
      <w:pPr>
        <w:ind w:left="432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Brian Byala</w:t>
      </w:r>
    </w:p>
    <w:p>
      <w:pPr>
        <w:ind w:left="4320"/>
        <w:spacing w:after="0"/>
        <w:tabs>
          <w:tab w:leader="none" w:pos="4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 and Treasurer</w:t>
      </w:r>
    </w:p>
    <w:p>
      <w:pPr>
        <w:sectPr>
          <w:pgSz w:w="11900" w:h="16838" w:orient="portrait"/>
          <w:cols w:equalWidth="0" w:num="1">
            <w:col w:w="10840"/>
          </w:cols>
          <w:pgMar w:left="240" w:top="622" w:right="819" w:bottom="1440" w:gutter="0" w:footer="0" w:header="0"/>
        </w:sectPr>
      </w:pPr>
    </w:p>
    <w:bookmarkStart w:id="149" w:name="page150"/>
    <w:bookmarkEnd w:id="149"/>
    <w:p>
      <w:pPr>
        <w:ind w:left="2700"/>
        <w:spacing w:after="0"/>
        <w:rPr>
          <w:sz w:val="20"/>
          <w:szCs w:val="20"/>
          <w:color w:val="auto"/>
        </w:rPr>
      </w:pPr>
      <w:r>
        <w:rPr>
          <w:rFonts w:ascii="Arial" w:cs="Arial" w:eastAsia="Arial" w:hAnsi="Arial"/>
          <w:sz w:val="18"/>
          <w:szCs w:val="18"/>
          <w:color w:val="auto"/>
        </w:rPr>
        <w:t>BANK OF AMERICA, N.A., individually as a Lender and as Administrative Agent</w:t>
      </w:r>
    </w:p>
    <w:p>
      <w:pPr>
        <w:spacing w:after="0" w:line="200" w:lineRule="exact"/>
        <w:rPr>
          <w:sz w:val="20"/>
          <w:szCs w:val="20"/>
          <w:color w:val="auto"/>
        </w:rPr>
      </w:pPr>
    </w:p>
    <w:p>
      <w:pPr>
        <w:spacing w:after="0" w:line="25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LaPorte</w:t>
      </w:r>
    </w:p>
    <w:p>
      <w:pPr>
        <w:spacing w:after="0" w:line="15" w:lineRule="exact"/>
        <w:rPr>
          <w:sz w:val="20"/>
          <w:szCs w:val="20"/>
          <w:color w:val="auto"/>
        </w:rPr>
      </w:pPr>
    </w:p>
    <w:p>
      <w:pPr>
        <w:ind w:left="3120"/>
        <w:spacing w:after="0"/>
        <w:tabs>
          <w:tab w:leader="none" w:pos="4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Robert LaPorte</w:t>
      </w:r>
    </w:p>
    <w:p>
      <w:pPr>
        <w:ind w:left="3120"/>
        <w:spacing w:after="0"/>
        <w:tabs>
          <w:tab w:leader="none" w:pos="3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340"/>
          </w:cols>
          <w:pgMar w:left="1440" w:top="622" w:right="11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240" w:type="dxa"/>
            <w:vAlign w:val="bottom"/>
          </w:tcPr>
          <w:p>
            <w:pPr>
              <w:spacing w:after="0"/>
              <w:rPr>
                <w:sz w:val="14"/>
                <w:szCs w:val="1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State or Country of Organization</w:t>
            </w:r>
          </w:p>
        </w:tc>
      </w:tr>
      <w:tr>
        <w:trPr>
          <w:trHeight w:val="264"/>
        </w:trPr>
        <w:tc>
          <w:tcPr>
            <w:tcW w:w="5600" w:type="dxa"/>
            <w:vAlign w:val="bottom"/>
            <w:gridSpan w:val="2"/>
          </w:tcPr>
          <w:p>
            <w:pPr>
              <w:spacing w:after="0"/>
              <w:rPr>
                <w:sz w:val="20"/>
                <w:szCs w:val="20"/>
                <w:color w:val="auto"/>
              </w:rPr>
            </w:pPr>
            <w:r>
              <w:rPr>
                <w:rFonts w:ascii="Arial" w:cs="Arial" w:eastAsia="Arial" w:hAnsi="Arial"/>
                <w:sz w:val="18"/>
                <w:szCs w:val="18"/>
                <w:color w:val="auto"/>
              </w:rPr>
              <w:t>Mylan Pharmaceuticals Inc.</w:t>
            </w:r>
          </w:p>
        </w:tc>
        <w:tc>
          <w:tcPr>
            <w:tcW w:w="204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Technologies Inc.</w:t>
            </w:r>
          </w:p>
        </w:tc>
        <w:tc>
          <w:tcPr>
            <w:tcW w:w="204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Institutional Inc.</w:t>
            </w:r>
          </w:p>
        </w:tc>
        <w:tc>
          <w:tcPr>
            <w:tcW w:w="204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LLC</w:t>
            </w:r>
          </w:p>
        </w:tc>
        <w:tc>
          <w:tcPr>
            <w:tcW w:w="20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Caribe, Inc.</w:t>
            </w:r>
          </w:p>
        </w:tc>
        <w:tc>
          <w:tcPr>
            <w:tcW w:w="2040" w:type="dxa"/>
            <w:vAlign w:val="bottom"/>
          </w:tcPr>
          <w:p>
            <w:pPr>
              <w:spacing w:after="0"/>
              <w:rPr>
                <w:sz w:val="20"/>
                <w:szCs w:val="20"/>
                <w:color w:val="auto"/>
              </w:rPr>
            </w:pPr>
            <w:r>
              <w:rPr>
                <w:rFonts w:ascii="Arial" w:cs="Arial" w:eastAsia="Arial" w:hAnsi="Arial"/>
                <w:sz w:val="18"/>
                <w:szCs w:val="18"/>
                <w:color w:val="auto"/>
              </w:rPr>
              <w:t>Vermont</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International Holdings, Inc.</w:t>
            </w:r>
          </w:p>
        </w:tc>
        <w:tc>
          <w:tcPr>
            <w:tcW w:w="2040" w:type="dxa"/>
            <w:vAlign w:val="bottom"/>
          </w:tcPr>
          <w:p>
            <w:pPr>
              <w:spacing w:after="0"/>
              <w:rPr>
                <w:sz w:val="20"/>
                <w:szCs w:val="20"/>
                <w:color w:val="auto"/>
              </w:rPr>
            </w:pPr>
            <w:r>
              <w:rPr>
                <w:rFonts w:ascii="Arial" w:cs="Arial" w:eastAsia="Arial" w:hAnsi="Arial"/>
                <w:sz w:val="18"/>
                <w:szCs w:val="18"/>
                <w:color w:val="auto"/>
              </w:rPr>
              <w:t>Vermont</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MLRE LLC</w:t>
            </w:r>
          </w:p>
        </w:tc>
        <w:tc>
          <w:tcPr>
            <w:tcW w:w="204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Synerx Pharma, LLC</w:t>
            </w:r>
          </w:p>
        </w:tc>
        <w:tc>
          <w:tcPr>
            <w:tcW w:w="204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MP Air, Inc.</w:t>
            </w:r>
          </w:p>
        </w:tc>
        <w:tc>
          <w:tcPr>
            <w:tcW w:w="204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American Triumvirate Insurance Company</w:t>
            </w:r>
          </w:p>
        </w:tc>
        <w:tc>
          <w:tcPr>
            <w:tcW w:w="2040" w:type="dxa"/>
            <w:vAlign w:val="bottom"/>
          </w:tcPr>
          <w:p>
            <w:pPr>
              <w:spacing w:after="0"/>
              <w:rPr>
                <w:sz w:val="20"/>
                <w:szCs w:val="20"/>
                <w:color w:val="auto"/>
              </w:rPr>
            </w:pPr>
            <w:r>
              <w:rPr>
                <w:rFonts w:ascii="Arial" w:cs="Arial" w:eastAsia="Arial" w:hAnsi="Arial"/>
                <w:sz w:val="18"/>
                <w:szCs w:val="18"/>
                <w:color w:val="auto"/>
              </w:rPr>
              <w:t>Vermont</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Somerset Pharmaceuticals, Inc.</w:t>
            </w:r>
          </w:p>
        </w:tc>
        <w:tc>
          <w:tcPr>
            <w:tcW w:w="20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Bertek Pharmaceuticals Inc.</w:t>
            </w:r>
          </w:p>
        </w:tc>
        <w:tc>
          <w:tcPr>
            <w:tcW w:w="204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Euro Mylan B.V.</w:t>
            </w:r>
          </w:p>
        </w:tc>
        <w:tc>
          <w:tcPr>
            <w:tcW w:w="204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MP Laboratories (Mauritius) Ltd.</w:t>
            </w:r>
          </w:p>
        </w:tc>
        <w:tc>
          <w:tcPr>
            <w:tcW w:w="2040" w:type="dxa"/>
            <w:vAlign w:val="bottom"/>
          </w:tcPr>
          <w:p>
            <w:pPr>
              <w:spacing w:after="0"/>
              <w:rPr>
                <w:sz w:val="20"/>
                <w:szCs w:val="20"/>
                <w:color w:val="auto"/>
              </w:rPr>
            </w:pPr>
            <w:r>
              <w:rPr>
                <w:rFonts w:ascii="Arial" w:cs="Arial" w:eastAsia="Arial" w:hAnsi="Arial"/>
                <w:sz w:val="18"/>
                <w:szCs w:val="18"/>
                <w:color w:val="auto"/>
              </w:rPr>
              <w:t>Mauritius</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Singapore Pte. Ltd.</w:t>
            </w:r>
          </w:p>
        </w:tc>
        <w:tc>
          <w:tcPr>
            <w:tcW w:w="204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Pharmaceuticals ULC</w:t>
            </w:r>
          </w:p>
        </w:tc>
        <w:tc>
          <w:tcPr>
            <w:tcW w:w="2040" w:type="dxa"/>
            <w:vAlign w:val="bottom"/>
          </w:tcPr>
          <w:p>
            <w:pPr>
              <w:spacing w:after="0"/>
              <w:rPr>
                <w:sz w:val="20"/>
                <w:szCs w:val="20"/>
                <w:color w:val="auto"/>
              </w:rPr>
            </w:pPr>
            <w:r>
              <w:rPr>
                <w:rFonts w:ascii="Arial" w:cs="Arial" w:eastAsia="Arial" w:hAnsi="Arial"/>
                <w:sz w:val="18"/>
                <w:szCs w:val="18"/>
                <w:color w:val="auto"/>
              </w:rPr>
              <w:t>Canada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QD Pharmaceuticals ULC</w:t>
            </w:r>
          </w:p>
        </w:tc>
        <w:tc>
          <w:tcPr>
            <w:tcW w:w="2040" w:type="dxa"/>
            <w:vAlign w:val="bottom"/>
          </w:tcPr>
          <w:p>
            <w:pPr>
              <w:spacing w:after="0"/>
              <w:rPr>
                <w:sz w:val="20"/>
                <w:szCs w:val="20"/>
                <w:color w:val="auto"/>
              </w:rPr>
            </w:pPr>
            <w:r>
              <w:rPr>
                <w:rFonts w:ascii="Arial" w:cs="Arial" w:eastAsia="Arial" w:hAnsi="Arial"/>
                <w:sz w:val="18"/>
                <w:szCs w:val="18"/>
                <w:color w:val="auto"/>
              </w:rPr>
              <w:t>Canada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Australia Pty. Ltd.</w:t>
            </w:r>
          </w:p>
        </w:tc>
        <w:tc>
          <w:tcPr>
            <w:tcW w:w="2040" w:type="dxa"/>
            <w:vAlign w:val="bottom"/>
          </w:tcPr>
          <w:p>
            <w:pPr>
              <w:spacing w:after="0"/>
              <w:rPr>
                <w:sz w:val="20"/>
                <w:szCs w:val="20"/>
                <w:color w:val="auto"/>
              </w:rPr>
            </w:pPr>
            <w:r>
              <w:rPr>
                <w:rFonts w:ascii="Arial" w:cs="Arial" w:eastAsia="Arial" w:hAnsi="Arial"/>
                <w:sz w:val="18"/>
                <w:szCs w:val="18"/>
                <w:color w:val="auto"/>
              </w:rPr>
              <w:t>Australia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Australia Holding Pty. Ltd.</w:t>
            </w:r>
          </w:p>
        </w:tc>
        <w:tc>
          <w:tcPr>
            <w:tcW w:w="2040" w:type="dxa"/>
            <w:vAlign w:val="bottom"/>
          </w:tcPr>
          <w:p>
            <w:pPr>
              <w:spacing w:after="0"/>
              <w:rPr>
                <w:sz w:val="20"/>
                <w:szCs w:val="20"/>
                <w:color w:val="auto"/>
              </w:rPr>
            </w:pPr>
            <w:r>
              <w:rPr>
                <w:rFonts w:ascii="Arial" w:cs="Arial" w:eastAsia="Arial" w:hAnsi="Arial"/>
                <w:sz w:val="18"/>
                <w:szCs w:val="18"/>
                <w:color w:val="auto"/>
              </w:rPr>
              <w:t>Australia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Delaware Inc.</w:t>
            </w:r>
          </w:p>
        </w:tc>
        <w:tc>
          <w:tcPr>
            <w:tcW w:w="20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LHC Inc.</w:t>
            </w:r>
          </w:p>
        </w:tc>
        <w:tc>
          <w:tcPr>
            <w:tcW w:w="20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Bermuda Ltd.</w:t>
            </w:r>
          </w:p>
        </w:tc>
        <w:tc>
          <w:tcPr>
            <w:tcW w:w="2040" w:type="dxa"/>
            <w:vAlign w:val="bottom"/>
          </w:tcPr>
          <w:p>
            <w:pPr>
              <w:spacing w:after="0"/>
              <w:rPr>
                <w:sz w:val="20"/>
                <w:szCs w:val="20"/>
                <w:color w:val="auto"/>
              </w:rPr>
            </w:pPr>
            <w:r>
              <w:rPr>
                <w:rFonts w:ascii="Arial" w:cs="Arial" w:eastAsia="Arial" w:hAnsi="Arial"/>
                <w:sz w:val="18"/>
                <w:szCs w:val="18"/>
                <w:color w:val="auto"/>
              </w:rPr>
              <w:t>Bermuda</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L2 S.C.S.</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L3 S.C.S.</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L4 S.C.S.</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1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2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3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5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6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7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8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Luxembourg 9 S.a r.l.</w:t>
            </w:r>
          </w:p>
        </w:tc>
        <w:tc>
          <w:tcPr>
            <w:tcW w:w="204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1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2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3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4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5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6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7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8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(Gibraltar) 9 Ltd.</w:t>
            </w:r>
          </w:p>
        </w:tc>
        <w:tc>
          <w:tcPr>
            <w:tcW w:w="2040" w:type="dxa"/>
            <w:vAlign w:val="bottom"/>
          </w:tcPr>
          <w:p>
            <w:pPr>
              <w:spacing w:after="0"/>
              <w:rPr>
                <w:sz w:val="20"/>
                <w:szCs w:val="20"/>
                <w:color w:val="auto"/>
              </w:rPr>
            </w:pPr>
            <w:r>
              <w:rPr>
                <w:rFonts w:ascii="Arial" w:cs="Arial" w:eastAsia="Arial" w:hAnsi="Arial"/>
                <w:sz w:val="18"/>
                <w:szCs w:val="18"/>
                <w:color w:val="auto"/>
              </w:rPr>
              <w:t>Gibraltar</w:t>
            </w: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Mylan dura GmbH</w:t>
            </w:r>
          </w:p>
        </w:tc>
        <w:tc>
          <w:tcPr>
            <w:tcW w:w="2040" w:type="dxa"/>
            <w:vAlign w:val="bottom"/>
          </w:tcPr>
          <w:p>
            <w:pPr>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420"/>
          </w:cols>
          <w:pgMar w:left="240" w:top="580"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Mylan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Generics France Holding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EMEA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FCT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Lda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Societe de Participation Pharmaceutique S.A.S.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Generics [U.K.]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McDermott Laboratories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Investments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 Group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 (Canada)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Institutional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 Acquisition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Teoranta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Arcana Arzneimittel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Qualimed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Pharmaceuticals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Generics Pharma Hellas E.P.E.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Switzerland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B.V.B.A.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Group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Xixia Pharmaceuticals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Acepharm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SCP Pharmaceuticals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(Proprietary)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Pharmaceuticals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Prasfarma Oncologicos S.L.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Scandinavian Pharmaceuticals-Generics AB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Scandpharm Marketing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OY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Denmark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Genpharm General Partner,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Genpharm Limited Partner,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Pharmaceuticals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Seiyaku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Alphapharm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ectPr>
          <w:pgSz w:w="11900" w:h="16838" w:orient="portrait"/>
          <w:cols w:equalWidth="0" w:num="2">
            <w:col w:w="4880" w:space="720"/>
            <w:col w:w="4579"/>
          </w:cols>
          <w:pgMar w:left="280" w:top="908" w:right="1440"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Mylan New Zealand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Pacific Pharmaceuticals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EMD,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Dey Limited Partner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Specialty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Special Investments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RCF 4,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Securitization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d.o.o.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Pharmaceuticals spol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Hungary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Pharmaceuticals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Matrix Laboratories B.V.B.A.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Matrix Laboratories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Matrix Pharma Group (Xiamen)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Jiangsu Matrix Pharmaceutical Chemical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Matrix Laboratories (Xiamen) Ltd.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Xiamen Beacon Pharmaceutical Manufacturing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Mylan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Astrix Laboratories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Docpharma B.V.B.A.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 Medical PRS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Aktuapharma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Apothecon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DAA Pharma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DCI Pharma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Farma 1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Hospithera N.V.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Taiwan Province of China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ectPr>
          <w:pgSz w:w="11900" w:h="16838" w:orient="portrait"/>
          <w:cols w:equalWidth="0" w:num="2">
            <w:col w:w="4880" w:space="720"/>
            <w:col w:w="4579"/>
          </w:cols>
          <w:pgMar w:left="280" w:top="908"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Nos. 333-35887, 333-43081, 333-65327, 333-65329, 333-98811, and 333-111076 on Form S-8 and Registration Statement No. 333-166968 on Form S-3 of our reports dated February 27, 2013, relating to the consolidated financial statements and consolidated financial statement schedule of Mylan Inc. and subsidiaries (the “Company”) and the effectiveness of the Company’s internal control over financial reporting, appearing in this Annual Report on Form 10-K of the Company for the year ended December 31, 2012.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Heather Bresch, certify that:</w:t>
      </w:r>
    </w:p>
    <w:p>
      <w:pPr>
        <w:spacing w:after="0" w:line="117" w:lineRule="exact"/>
        <w:rPr>
          <w:sz w:val="20"/>
          <w:szCs w:val="20"/>
          <w:color w:val="auto"/>
        </w:rPr>
      </w:pPr>
    </w:p>
    <w:p>
      <w:pPr>
        <w:ind w:left="960" w:hanging="304"/>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Form 10-K of Mylan Inc.;</w:t>
      </w:r>
    </w:p>
    <w:p>
      <w:pPr>
        <w:spacing w:after="0" w:line="130" w:lineRule="exact"/>
        <w:rPr>
          <w:rFonts w:ascii="Arial" w:cs="Arial" w:eastAsia="Arial" w:hAnsi="Arial"/>
          <w:sz w:val="18"/>
          <w:szCs w:val="18"/>
          <w:color w:val="auto"/>
        </w:rPr>
      </w:pPr>
    </w:p>
    <w:p>
      <w:pPr>
        <w:ind w:firstLine="656"/>
        <w:spacing w:after="0" w:line="387" w:lineRule="auto"/>
        <w:tabs>
          <w:tab w:leader="none" w:pos="945"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56"/>
        <w:spacing w:after="0" w:line="324" w:lineRule="auto"/>
        <w:tabs>
          <w:tab w:leader="none" w:pos="9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656"/>
        <w:spacing w:after="0" w:line="311" w:lineRule="auto"/>
        <w:tabs>
          <w:tab w:leader="none" w:pos="9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firstLine="645"/>
        <w:spacing w:after="0" w:line="387" w:lineRule="auto"/>
        <w:tabs>
          <w:tab w:leader="none" w:pos="161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firstLine="645"/>
        <w:spacing w:after="0" w:line="387" w:lineRule="auto"/>
        <w:tabs>
          <w:tab w:leader="none" w:pos="16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ind w:firstLine="656"/>
        <w:spacing w:after="0" w:line="324" w:lineRule="auto"/>
        <w:tabs>
          <w:tab w:leader="none" w:pos="9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5" w:lineRule="exact"/>
        <w:rPr>
          <w:rFonts w:ascii="Arial" w:cs="Arial" w:eastAsia="Arial" w:hAnsi="Arial"/>
          <w:sz w:val="18"/>
          <w:szCs w:val="18"/>
          <w:color w:val="auto"/>
        </w:rPr>
      </w:pPr>
    </w:p>
    <w:p>
      <w:pPr>
        <w:ind w:left="660" w:firstLine="645"/>
        <w:spacing w:after="0" w:line="357" w:lineRule="auto"/>
        <w:tabs>
          <w:tab w:leader="none" w:pos="161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firstLine="645"/>
        <w:spacing w:after="0" w:line="324" w:lineRule="auto"/>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72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Heather Bresch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2013</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D. Sheehan, certify that:</w:t>
      </w:r>
    </w:p>
    <w:p>
      <w:pPr>
        <w:spacing w:after="0" w:line="117" w:lineRule="exact"/>
        <w:rPr>
          <w:sz w:val="20"/>
          <w:szCs w:val="20"/>
          <w:color w:val="auto"/>
        </w:rPr>
      </w:pPr>
    </w:p>
    <w:p>
      <w:pPr>
        <w:ind w:left="960" w:hanging="304"/>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Form 10-K of Mylan Inc.;</w:t>
      </w:r>
    </w:p>
    <w:p>
      <w:pPr>
        <w:spacing w:after="0" w:line="130" w:lineRule="exact"/>
        <w:rPr>
          <w:rFonts w:ascii="Arial" w:cs="Arial" w:eastAsia="Arial" w:hAnsi="Arial"/>
          <w:sz w:val="18"/>
          <w:szCs w:val="18"/>
          <w:color w:val="auto"/>
        </w:rPr>
      </w:pPr>
    </w:p>
    <w:p>
      <w:pPr>
        <w:ind w:firstLine="656"/>
        <w:spacing w:after="0" w:line="387" w:lineRule="auto"/>
        <w:tabs>
          <w:tab w:leader="none" w:pos="945"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56"/>
        <w:spacing w:after="0" w:line="324" w:lineRule="auto"/>
        <w:tabs>
          <w:tab w:leader="none" w:pos="9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656"/>
        <w:spacing w:after="0" w:line="311" w:lineRule="auto"/>
        <w:tabs>
          <w:tab w:leader="none" w:pos="9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1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firstLine="645"/>
        <w:spacing w:after="0" w:line="387" w:lineRule="auto"/>
        <w:tabs>
          <w:tab w:leader="none" w:pos="161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firstLine="645"/>
        <w:spacing w:after="0" w:line="387" w:lineRule="auto"/>
        <w:tabs>
          <w:tab w:leader="none" w:pos="16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ind w:firstLine="656"/>
        <w:spacing w:after="0" w:line="324" w:lineRule="auto"/>
        <w:tabs>
          <w:tab w:leader="none" w:pos="9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5" w:lineRule="exact"/>
        <w:rPr>
          <w:rFonts w:ascii="Arial" w:cs="Arial" w:eastAsia="Arial" w:hAnsi="Arial"/>
          <w:sz w:val="18"/>
          <w:szCs w:val="18"/>
          <w:color w:val="auto"/>
        </w:rPr>
      </w:pPr>
    </w:p>
    <w:p>
      <w:pPr>
        <w:ind w:left="660" w:firstLine="645"/>
        <w:spacing w:after="0" w:line="357" w:lineRule="auto"/>
        <w:tabs>
          <w:tab w:leader="none" w:pos="161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firstLine="645"/>
        <w:spacing w:after="0" w:line="324"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John D.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536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6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D. Sheehan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2013</w:t>
      </w:r>
    </w:p>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Form 10-K of Mylan Inc. (the “Company”) for the year ended December 31, 2012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73" w:lineRule="exact"/>
        <w:rPr>
          <w:sz w:val="20"/>
          <w:szCs w:val="20"/>
          <w:color w:val="auto"/>
        </w:rPr>
      </w:pPr>
    </w:p>
    <w:p>
      <w:pPr>
        <w:ind w:left="1440" w:hanging="460"/>
        <w:spacing w:after="0"/>
        <w:tabs>
          <w:tab w:leader="none" w:pos="1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440" w:hanging="460"/>
        <w:spacing w:after="0"/>
        <w:tabs>
          <w:tab w:leader="none" w:pos="14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2013</w:t>
      </w:r>
    </w:p>
    <w:p>
      <w:pPr>
        <w:spacing w:after="0" w:line="17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Heather Bresch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D.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D. Sheehan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2"/>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lowerLetter"/>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2"/>
    </w:lvl>
  </w:abstractNum>
  <w:abstractNum w:abstractNumId="26">
    <w:nsid w:val="79A1DEAA"/>
    <w:multiLevelType w:val="hybridMultilevel"/>
    <w:lvl w:ilvl="0">
      <w:lvlJc w:val="left"/>
      <w:lvlText w:val="%1."/>
      <w:numFmt w:val="decimal"/>
      <w:start w:val="3"/>
    </w:lvl>
  </w:abstractNum>
  <w:abstractNum w:abstractNumId="27">
    <w:nsid w:val="75C6C33A"/>
    <w:multiLevelType w:val="hybridMultilevel"/>
    <w:lvl w:ilvl="0">
      <w:lvlJc w:val="left"/>
      <w:lvlText w:val="%1."/>
      <w:numFmt w:val="decimal"/>
      <w:start w:val="4"/>
    </w:lvl>
  </w:abstractNum>
  <w:abstractNum w:abstractNumId="28">
    <w:nsid w:val="12E685FB"/>
    <w:multiLevelType w:val="hybridMultilevel"/>
    <w:lvl w:ilvl="0">
      <w:lvlJc w:val="left"/>
      <w:lvlText w:val="%1."/>
      <w:numFmt w:val="decimal"/>
      <w:start w:val="5"/>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6"/>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1."/>
      <w:numFmt w:val="decimal"/>
      <w:start w:val="7"/>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5"/>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2"/>
    </w:lvl>
  </w:abstractNum>
  <w:abstractNum w:abstractNumId="44">
    <w:nsid w:val="D34B6A8"/>
    <w:multiLevelType w:val="hybridMultilevel"/>
    <w:lvl w:ilvl="0">
      <w:lvlJc w:val="left"/>
      <w:lvlText w:val="%1."/>
      <w:numFmt w:val="decimal"/>
      <w:start w:val="3"/>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1"/>
    </w:lvl>
  </w:abstractNum>
  <w:abstractNum w:abstractNumId="49">
    <w:nsid w:val="77AE35EB"/>
    <w:multiLevelType w:val="hybridMultilevel"/>
    <w:lvl w:ilvl="0">
      <w:lvlJc w:val="left"/>
      <w:lvlText w:val="(%1)"/>
      <w:numFmt w:val="lowerLetter"/>
      <w:start w:val="2"/>
    </w:lvl>
  </w:abstractNum>
  <w:abstractNum w:abstractNumId="50">
    <w:nsid w:val="579BE4F1"/>
    <w:multiLevelType w:val="hybridMultilevel"/>
    <w:lvl w:ilvl="0">
      <w:lvlJc w:val="left"/>
      <w:lvlText w:val="(%1)"/>
      <w:numFmt w:val="lowerLetter"/>
      <w:start w:val="1"/>
    </w:lvl>
  </w:abstractNum>
  <w:abstractNum w:abstractNumId="51">
    <w:nsid w:val="310C50B3"/>
    <w:multiLevelType w:val="hybridMultilevel"/>
    <w:lvl w:ilvl="0">
      <w:lvlJc w:val="left"/>
      <w:lvlText w:val="(%1)"/>
      <w:numFmt w:val="lowerRoman"/>
      <w:start w:val="1"/>
    </w:lvl>
  </w:abstractNum>
  <w:abstractNum w:abstractNumId="52">
    <w:nsid w:val="5FF87E05"/>
    <w:multiLevelType w:val="hybridMultilevel"/>
    <w:lvl w:ilvl="0">
      <w:lvlJc w:val="left"/>
      <w:lvlText w:val="(%1)"/>
      <w:numFmt w:val="lowerLetter"/>
      <w:start w:val="3"/>
    </w:lvl>
  </w:abstractNum>
  <w:abstractNum w:abstractNumId="53">
    <w:nsid w:val="2F305DEF"/>
    <w:multiLevelType w:val="hybridMultilevel"/>
    <w:lvl w:ilvl="0">
      <w:lvlJc w:val="left"/>
      <w:lvlText w:val="%1"/>
      <w:numFmt w:val="upperLetter"/>
      <w:start w:val="1"/>
    </w:lvl>
    <w:lvl w:ilvl="1">
      <w:lvlJc w:val="left"/>
      <w:lvlText w:val="(%2)"/>
      <w:numFmt w:val="lowerRoman"/>
      <w:start w:val="1"/>
    </w:lvl>
  </w:abstractNum>
  <w:abstractNum w:abstractNumId="54">
    <w:nsid w:val="25A70BF7"/>
    <w:multiLevelType w:val="hybridMultilevel"/>
    <w:lvl w:ilvl="0">
      <w:lvlJc w:val="left"/>
      <w:lvlText w:val="(%1)"/>
      <w:numFmt w:val="upperLetter"/>
      <w:start w:val="1"/>
    </w:lvl>
    <w:lvl w:ilvl="1">
      <w:lvlJc w:val="left"/>
      <w:lvlText w:val="(%2)"/>
      <w:numFmt w:val="lowerRoman"/>
      <w:start w:val="6"/>
    </w:lvl>
  </w:abstractNum>
  <w:abstractNum w:abstractNumId="55">
    <w:nsid w:val="1DBABF00"/>
    <w:multiLevelType w:val="hybridMultilevel"/>
    <w:lvl w:ilvl="0">
      <w:lvlJc w:val="left"/>
      <w:lvlText w:val="(%1)"/>
      <w:numFmt w:val="lowerLetter"/>
      <w:start w:val="1"/>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3"/>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5"/>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4"/>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5"/>
    </w:lvl>
  </w:abstractNum>
  <w:abstractNum w:abstractNumId="65">
    <w:nsid w:val="799D0247"/>
    <w:multiLevelType w:val="hybridMultilevel"/>
    <w:lvl w:ilvl="0">
      <w:lvlJc w:val="left"/>
      <w:lvlText w:val="(%1)"/>
      <w:numFmt w:val="lowerRoman"/>
      <w:start w:val="1"/>
    </w:lvl>
  </w:abstractNum>
  <w:abstractNum w:abstractNumId="66">
    <w:nsid w:val="6B94764"/>
    <w:multiLevelType w:val="hybridMultilevel"/>
    <w:lvl w:ilvl="0">
      <w:lvlJc w:val="left"/>
      <w:lvlText w:val="(%1)"/>
      <w:numFmt w:val="lowerRoman"/>
      <w:start w:val="4"/>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4"/>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2019-12-05T12:49:13Z</dcterms:created>
  <dcterms:modified xsi:type="dcterms:W3CDTF">2019-12-05T12:49:13Z</dcterms:modified>
</cp:coreProperties>
</file>