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286385</wp:posOffset>
            </wp:positionH>
            <wp:positionV relativeFrom="page">
              <wp:posOffset>397510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8" w:lineRule="exact"/>
        <w:rPr>
          <w:sz w:val="24"/>
          <w:szCs w:val="24"/>
          <w:color w:val="auto"/>
        </w:rPr>
      </w:pPr>
    </w:p>
    <w:p>
      <w:pPr>
        <w:ind w:left="700" w:right="4800" w:hanging="665"/>
        <w:spacing w:after="0" w:line="325" w:lineRule="auto"/>
        <w:tabs>
          <w:tab w:leader="none" w:pos="7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2014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700" w:hanging="665"/>
        <w:spacing w:after="0" w:line="236" w:lineRule="auto"/>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6" w:lineRule="exact"/>
        <w:rPr>
          <w:sz w:val="24"/>
          <w:szCs w:val="24"/>
          <w:color w:val="auto"/>
        </w:rPr>
      </w:pPr>
    </w:p>
    <w:p>
      <w:pPr>
        <w:ind w:left="700"/>
        <w:spacing w:after="0"/>
        <w:tabs>
          <w:tab w:leader="none" w:pos="3340" w:val="left"/>
          <w:tab w:leader="none" w:pos="4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1-9114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MYLAN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420"/>
          </w:cols>
          <w:pgMar w:left="240" w:top="907" w:right="239" w:bottom="0" w:gutter="0" w:footer="0" w:header="0"/>
        </w:sectPr>
      </w:pPr>
    </w:p>
    <w:p>
      <w:pPr>
        <w:spacing w:after="0" w:line="147"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Pennsylvania</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25-1211621</w:t>
      </w:r>
    </w:p>
    <w:p>
      <w:pPr>
        <w:spacing w:after="0" w:line="64" w:lineRule="exact"/>
        <w:rPr>
          <w:sz w:val="24"/>
          <w:szCs w:val="24"/>
          <w:color w:val="auto"/>
        </w:rPr>
      </w:pPr>
    </w:p>
    <w:p>
      <w:pPr>
        <w:sectPr>
          <w:pgSz w:w="11900" w:h="16838" w:orient="portrait"/>
          <w:cols w:equalWidth="0" w:num="2">
            <w:col w:w="7280" w:space="720"/>
            <w:col w:w="3420"/>
          </w:cols>
          <w:pgMar w:left="240" w:top="907" w:right="2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50" w:lineRule="exact"/>
        <w:rPr>
          <w:sz w:val="24"/>
          <w:szCs w:val="24"/>
          <w:color w:val="auto"/>
        </w:rPr>
      </w:pPr>
    </w:p>
    <w:p>
      <w:pPr>
        <w:sectPr>
          <w:pgSz w:w="11900" w:h="16838" w:orient="portrait"/>
          <w:cols w:equalWidth="0" w:num="2">
            <w:col w:w="6640" w:space="720"/>
            <w:col w:w="4060"/>
          </w:cols>
          <w:pgMar w:left="240" w:top="907" w:right="2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1000 Mylan Boulevard, Canonsburg, Pennsylvania 15317</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(724) 514-1800</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ectPr>
          <w:pgSz w:w="11900" w:h="16838" w:orient="portrait"/>
          <w:cols w:equalWidth="0" w:num="1">
            <w:col w:w="11420"/>
          </w:cols>
          <w:pgMar w:left="240" w:top="907" w:right="239" w:bottom="0" w:gutter="0" w:footer="0" w:header="0"/>
          <w:type w:val="continuous"/>
        </w:sectPr>
      </w:pP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75" w:lineRule="exact"/>
        <w:rPr>
          <w:sz w:val="24"/>
          <w:szCs w:val="24"/>
          <w:color w:val="auto"/>
        </w:rPr>
      </w:pPr>
    </w:p>
    <w:p>
      <w:pPr>
        <w:sectPr>
          <w:pgSz w:w="11900" w:h="16838" w:orient="portrait"/>
          <w:cols w:equalWidth="0" w:num="2">
            <w:col w:w="6060" w:space="720"/>
            <w:col w:w="4640"/>
          </w:cols>
          <w:pgMar w:left="240" w:top="907" w:right="239" w:bottom="0" w:gutter="0" w:footer="0" w:header="0"/>
          <w:type w:val="continuous"/>
        </w:sectPr>
      </w:pPr>
    </w:p>
    <w:p>
      <w:pPr>
        <w:ind w:left="1300"/>
        <w:spacing w:after="0"/>
        <w:rPr>
          <w:sz w:val="20"/>
          <w:szCs w:val="20"/>
          <w:color w:val="auto"/>
        </w:rPr>
      </w:pPr>
      <w:r>
        <w:rPr>
          <w:rFonts w:ascii="Times New Roman" w:cs="Times New Roman" w:eastAsia="Times New Roman" w:hAnsi="Times New Roman"/>
          <w:sz w:val="16"/>
          <w:szCs w:val="16"/>
          <w:color w:val="auto"/>
        </w:rPr>
        <w:t>Common Stock, par value $0.50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71" w:lineRule="exact"/>
        <w:rPr>
          <w:sz w:val="24"/>
          <w:szCs w:val="24"/>
          <w:color w:val="auto"/>
        </w:rPr>
      </w:pPr>
    </w:p>
    <w:p>
      <w:pPr>
        <w:sectPr>
          <w:pgSz w:w="11900" w:h="16838" w:orient="portrait"/>
          <w:cols w:equalWidth="0" w:num="2">
            <w:col w:w="6740" w:space="720"/>
            <w:col w:w="3960"/>
          </w:cols>
          <w:pgMar w:left="240" w:top="907"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420"/>
          </w:cols>
          <w:pgMar w:left="240" w:top="907" w:right="239" w:bottom="0" w:gutter="0" w:footer="0" w:header="0"/>
          <w:type w:val="continuous"/>
        </w:sectPr>
      </w:pPr>
    </w:p>
    <w:p>
      <w:pPr>
        <w:spacing w:after="0" w:line="7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8040" w:space="160"/>
            <w:col w:w="240" w:space="80"/>
            <w:col w:w="140" w:space="260"/>
            <w:col w:w="200" w:space="80"/>
            <w:col w:w="2220"/>
          </w:cols>
          <w:pgMar w:left="240" w:top="907" w:right="239" w:bottom="0" w:gutter="0" w:footer="0" w:header="0"/>
          <w:type w:val="continuous"/>
        </w:sectPr>
      </w:pPr>
    </w:p>
    <w:p>
      <w:pPr>
        <w:spacing w:after="0" w:line="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2" w:lineRule="exact"/>
        <w:rPr>
          <w:sz w:val="24"/>
          <w:szCs w:val="24"/>
          <w:color w:val="auto"/>
        </w:rPr>
      </w:pPr>
    </w:p>
    <w:p>
      <w:pPr>
        <w:sectPr>
          <w:pgSz w:w="11900" w:h="16838" w:orient="portrait"/>
          <w:cols w:equalWidth="0" w:num="5">
            <w:col w:w="8200" w:space="160"/>
            <w:col w:w="220" w:space="80"/>
            <w:col w:w="160" w:space="240"/>
            <w:col w:w="200" w:space="80"/>
            <w:col w:w="2080"/>
          </w:cols>
          <w:pgMar w:left="240" w:top="907" w:right="239" w:bottom="0" w:gutter="0" w:footer="0" w:header="0"/>
          <w:type w:val="continuous"/>
        </w:sectPr>
      </w:pPr>
    </w:p>
    <w:p>
      <w:pPr>
        <w:jc w:val="both"/>
        <w:ind w:firstLine="43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firstLine="43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firstLine="432"/>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30" w:lineRule="exact"/>
        <w:rPr>
          <w:sz w:val="24"/>
          <w:szCs w:val="24"/>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07" w:right="239" w:bottom="0" w:gutter="0" w:footer="0" w:header="0"/>
          <w:type w:val="continuous"/>
        </w:sectPr>
      </w:pP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4">
            <w:col w:w="1480" w:space="720"/>
            <w:col w:w="4080" w:space="720"/>
            <w:col w:w="1560" w:space="720"/>
            <w:col w:w="2140"/>
          </w:cols>
          <w:pgMar w:left="240" w:top="907" w:right="239" w:bottom="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1480" w:space="720"/>
            <w:col w:w="160" w:space="200"/>
            <w:col w:w="3720" w:space="720"/>
            <w:col w:w="1780" w:space="500"/>
            <w:col w:w="2140"/>
          </w:cols>
          <w:pgMar w:left="240" w:top="907" w:right="239" w:bottom="0" w:gutter="0" w:footer="0" w:header="0"/>
          <w:type w:val="continuous"/>
        </w:sectPr>
      </w:pPr>
    </w:p>
    <w:p>
      <w:pPr>
        <w:spacing w:after="0" w:line="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7120" w:space="160"/>
            <w:col w:w="240" w:space="80"/>
            <w:col w:w="140" w:space="240"/>
            <w:col w:w="200" w:space="80"/>
            <w:col w:w="3160"/>
          </w:cols>
          <w:pgMar w:left="240" w:top="907" w:right="239" w:bottom="0" w:gutter="0" w:footer="0" w:header="0"/>
          <w:type w:val="continuous"/>
        </w:sectPr>
      </w:pPr>
    </w:p>
    <w:p>
      <w:pPr>
        <w:ind w:firstLine="432"/>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outstanding common stock, other than shares held by persons who may be deemed affiliates of the registrant, as of June 30, 2014, the last business day of the registrant’s most recently completed second fiscal quarter, was approximately $19,152,056,870.</w:t>
      </w:r>
    </w:p>
    <w:p>
      <w:pPr>
        <w:spacing w:after="0" w:line="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common stock of the registrant as of February 24, 2015 was 378,373,668.</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178"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Form 10-K into Which</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2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w w:val="99"/>
              </w:rPr>
              <w:t>Document</w:t>
            </w:r>
          </w:p>
        </w:tc>
        <w:tc>
          <w:tcPr>
            <w:tcW w:w="3860" w:type="dxa"/>
            <w:vAlign w:val="bottom"/>
          </w:tcPr>
          <w:p>
            <w:pPr>
              <w:spacing w:after="0"/>
              <w:rPr>
                <w:sz w:val="15"/>
                <w:szCs w:val="15"/>
                <w:color w:val="auto"/>
              </w:rPr>
            </w:pPr>
          </w:p>
        </w:tc>
        <w:tc>
          <w:tcPr>
            <w:tcW w:w="308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Document is Incorporated</w:t>
            </w:r>
          </w:p>
        </w:tc>
        <w:tc>
          <w:tcPr>
            <w:tcW w:w="0" w:type="dxa"/>
            <w:vAlign w:val="bottom"/>
          </w:tcPr>
          <w:p>
            <w:pPr>
              <w:spacing w:after="0"/>
              <w:rPr>
                <w:sz w:val="1"/>
                <w:szCs w:val="1"/>
                <w:color w:val="auto"/>
              </w:rPr>
            </w:pPr>
          </w:p>
        </w:tc>
      </w:tr>
      <w:tr>
        <w:trPr>
          <w:trHeight w:val="48"/>
        </w:trPr>
        <w:tc>
          <w:tcPr>
            <w:tcW w:w="83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An amendment to this Form 10-K will be filed no later than 120 days after the close of registrant’s fiscal year.</w:t>
            </w:r>
          </w:p>
        </w:tc>
        <w:tc>
          <w:tcPr>
            <w:tcW w:w="2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300" w:type="dxa"/>
            <w:vAlign w:val="bottom"/>
            <w:gridSpan w:val="4"/>
            <w:vMerge w:val="continue"/>
          </w:tcPr>
          <w:p>
            <w:pPr>
              <w:spacing w:after="0"/>
              <w:rPr>
                <w:sz w:val="18"/>
                <w:szCs w:val="18"/>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4"/>
          <w:szCs w:val="24"/>
          <w:color w:val="auto"/>
        </w:rPr>
      </w:pPr>
    </w:p>
    <w:p>
      <w:pPr>
        <w:ind w:right="80"/>
        <w:spacing w:after="0" w:line="270" w:lineRule="auto"/>
        <w:rPr>
          <w:sz w:val="20"/>
          <w:szCs w:val="20"/>
          <w:color w:val="auto"/>
        </w:rPr>
      </w:pPr>
      <w:r>
        <w:rPr>
          <w:rFonts w:ascii="Times New Roman" w:cs="Times New Roman" w:eastAsia="Times New Roman" w:hAnsi="Times New Roman"/>
          <w:sz w:val="17"/>
          <w:szCs w:val="17"/>
          <w:b w:val="1"/>
          <w:bCs w:val="1"/>
          <w:color w:val="auto"/>
        </w:rPr>
        <w:t>As discussed herein, on February 27, 2015 (the “Closing Date”), Mylan N.V. completed the transaction by which it acquired Mylan Inc. and Abbott Laboratories’ non-U.S. developed markets specialty and branded generics business. Pursuant to the terms of the Amended and Restated Business Transfer Agreement and Plan of Merger, dated as of November 4, 2014, by and among Mylan Inc., New Moon B.V. (which has been renamed Mylan N.V.), Moon of PA Inc., and Abbott Laboratories, on the Closing Date, Mylan N.V. acquired Abbott Laboratories’ non-U.S. developed markets specialty and branded generics business and Moon of PA Inc. merged with and into Mylan Inc., with Mylan Inc. surviving as a wholly owned indirect subsidiary of Mylan N.V. (the “Merger”) and each share of Mylan Inc. common stock issued and outstanding was canceled and automatically converted into and became the right to receive one Mylan N.V. ordinary share. In connection with this transaction, Mylan Inc. and Abbott Laboratories’ non-U.S. developed markets specialty and branded generics business were reorganized under Mylan N.V., a new public company organized in the Netherlands. On February 18, 2015, the Office of Chief Counsel of the Division of Corporation Finance of the Securities and Exchange Commission issued a no-action letter to Mylan Inc. and Mylan N.V. that included its views that the Merger constituted a “succession” for purposes of Rule 12g-3(a) under the Securities and Exchange Act of 1934, as amended (the “Exchange Act”), and that Mylan N.V., as successor to Mylan Inc., is deemed a large accelerated filer for purposes of Exchange Act Rule 12b-2. Mylan Inc. is filing this Annual Report on Form 10-K in</w:t>
      </w:r>
    </w:p>
    <w:p>
      <w:pPr>
        <w:sectPr>
          <w:pgSz w:w="11900" w:h="16838" w:orient="portrait"/>
          <w:cols w:equalWidth="0" w:num="1">
            <w:col w:w="11420"/>
          </w:cols>
          <w:pgMar w:left="240" w:top="907" w:right="239" w:bottom="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accordance with Rule 12g-3(g) of the Exchange Act. As of March 2, 2015, Mylan N.V., and not Mylan Inc., traded on the NASDAQ Stock Market under the symbol “MYL”.</w:t>
      </w:r>
    </w:p>
    <w:p>
      <w:pPr>
        <w:sectPr>
          <w:pgSz w:w="11900" w:h="16838" w:orient="portrait"/>
          <w:cols w:equalWidth="0" w:num="1">
            <w:col w:w="11120"/>
          </w:cols>
          <w:pgMar w:left="240" w:top="11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MYLAN INC.</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80" w:type="dxa"/>
            <w:vAlign w:val="bottom"/>
            <w:gridSpan w:val="10"/>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2014</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gridSpan w:val="9"/>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Unresolved Staff Comments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rFonts w:ascii="Times New Roman" w:cs="Times New Roman" w:eastAsia="Times New Roman" w:hAnsi="Times New Roman"/>
                <w:sz w:val="18"/>
                <w:szCs w:val="18"/>
                <w:color w:val="0000EE"/>
                <w:w w:val="98"/>
              </w:rPr>
            </w:pPr>
            <w:hyperlink w:anchor="page48">
              <w:r>
                <w:rPr>
                  <w:rFonts w:ascii="Times New Roman" w:cs="Times New Roman" w:eastAsia="Times New Roman" w:hAnsi="Times New Roman"/>
                  <w:sz w:val="18"/>
                  <w:szCs w:val="18"/>
                  <w:color w:val="0000EE"/>
                  <w:w w:val="98"/>
                </w:rPr>
                <w:t>Properties</w:t>
              </w:r>
            </w:hyperlink>
          </w:p>
        </w:tc>
        <w:tc>
          <w:tcPr>
            <w:tcW w:w="1300" w:type="dxa"/>
            <w:vAlign w:val="bottom"/>
            <w:gridSpan w:val="7"/>
          </w:tcPr>
          <w:p>
            <w:pPr>
              <w:spacing w:after="0"/>
              <w:rPr>
                <w:sz w:val="21"/>
                <w:szCs w:val="21"/>
                <w:color w:val="auto"/>
              </w:rPr>
            </w:pPr>
          </w:p>
        </w:tc>
        <w:tc>
          <w:tcPr>
            <w:tcW w:w="6720" w:type="dxa"/>
            <w:vAlign w:val="bottom"/>
            <w:gridSpan w:val="11"/>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Legal Proceedings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47</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9"/>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19"/>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680" w:type="dxa"/>
            <w:vAlign w:val="bottom"/>
          </w:tcPr>
          <w:p>
            <w:pPr>
              <w:spacing w:after="0"/>
              <w:rPr>
                <w:sz w:val="19"/>
                <w:szCs w:val="19"/>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gridSpan w:val="6"/>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Selected Financial Data</w:t>
              </w:r>
            </w:hyperlink>
          </w:p>
        </w:tc>
        <w:tc>
          <w:tcPr>
            <w:tcW w:w="6360" w:type="dxa"/>
            <w:vAlign w:val="bottom"/>
            <w:gridSpan w:val="13"/>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50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52</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4"/>
          </w:tcPr>
          <w:p>
            <w:pPr>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2"/>
          </w:tcPr>
          <w:p>
            <w:pPr>
              <w:spacing w:after="0"/>
              <w:rPr>
                <w:sz w:val="21"/>
                <w:szCs w:val="21"/>
                <w:color w:val="auto"/>
              </w:rPr>
            </w:pPr>
          </w:p>
        </w:tc>
        <w:tc>
          <w:tcPr>
            <w:tcW w:w="2300" w:type="dxa"/>
            <w:vAlign w:val="bottom"/>
            <w:gridSpan w:val="4"/>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1"/>
          </w:tcPr>
          <w:p>
            <w:pPr>
              <w:spacing w:after="0"/>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Financial Statements and Supplementary Data</w:t>
              </w:r>
            </w:hyperlink>
          </w:p>
        </w:tc>
        <w:tc>
          <w:tcPr>
            <w:tcW w:w="980" w:type="dxa"/>
            <w:vAlign w:val="bottom"/>
            <w:gridSpan w:val="3"/>
          </w:tcPr>
          <w:p>
            <w:pPr>
              <w:spacing w:after="0"/>
              <w:rPr>
                <w:sz w:val="21"/>
                <w:szCs w:val="21"/>
                <w:color w:val="auto"/>
              </w:rPr>
            </w:pPr>
          </w:p>
        </w:tc>
        <w:tc>
          <w:tcPr>
            <w:tcW w:w="4440" w:type="dxa"/>
            <w:vAlign w:val="bottom"/>
            <w:gridSpan w:val="6"/>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130</w:t>
              </w:r>
            </w:hyperlink>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31">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280" w:type="dxa"/>
            <w:vAlign w:val="bottom"/>
            <w:gridSpan w:val="3"/>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1">
              <w:r>
                <w:rPr>
                  <w:rFonts w:ascii="Times New Roman" w:cs="Times New Roman" w:eastAsia="Times New Roman" w:hAnsi="Times New Roman"/>
                  <w:sz w:val="18"/>
                  <w:szCs w:val="18"/>
                  <w:color w:val="0000EE"/>
                  <w:w w:val="96"/>
                </w:rPr>
                <w:t>130</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Other Information</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131</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9"/>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33">
              <w:r>
                <w:rPr>
                  <w:rFonts w:ascii="Times New Roman" w:cs="Times New Roman" w:eastAsia="Times New Roman" w:hAnsi="Times New Roman"/>
                  <w:sz w:val="18"/>
                  <w:szCs w:val="18"/>
                  <w:color w:val="0000EE"/>
                  <w:w w:val="99"/>
                </w:rPr>
                <w:t>Directors, Executive Officers and Corporate Governance</w:t>
              </w:r>
            </w:hyperlink>
          </w:p>
        </w:tc>
        <w:tc>
          <w:tcPr>
            <w:tcW w:w="4660" w:type="dxa"/>
            <w:vAlign w:val="bottom"/>
            <w:gridSpan w:val="8"/>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3">
              <w:r>
                <w:rPr>
                  <w:rFonts w:ascii="Times New Roman" w:cs="Times New Roman" w:eastAsia="Times New Roman" w:hAnsi="Times New Roman"/>
                  <w:sz w:val="18"/>
                  <w:szCs w:val="18"/>
                  <w:color w:val="0000EE"/>
                  <w:w w:val="96"/>
                </w:rPr>
                <w:t>132</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Executive Compensation</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132</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33">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4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3">
              <w:r>
                <w:rPr>
                  <w:rFonts w:ascii="Times New Roman" w:cs="Times New Roman" w:eastAsia="Times New Roman" w:hAnsi="Times New Roman"/>
                  <w:sz w:val="18"/>
                  <w:szCs w:val="18"/>
                  <w:color w:val="0000EE"/>
                  <w:w w:val="96"/>
                </w:rPr>
                <w:t>132</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133">
              <w:r>
                <w:rPr>
                  <w:rFonts w:ascii="Times New Roman" w:cs="Times New Roman" w:eastAsia="Times New Roman" w:hAnsi="Times New Roman"/>
                  <w:sz w:val="18"/>
                  <w:szCs w:val="18"/>
                  <w:color w:val="0000EE"/>
                  <w:w w:val="99"/>
                </w:rPr>
                <w:t>Certain Relationships and Related Transactions, and Director Independence</w:t>
              </w:r>
            </w:hyperlink>
          </w:p>
        </w:tc>
        <w:tc>
          <w:tcPr>
            <w:tcW w:w="3300" w:type="dxa"/>
            <w:vAlign w:val="bottom"/>
            <w:gridSpan w:val="5"/>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3">
              <w:r>
                <w:rPr>
                  <w:rFonts w:ascii="Times New Roman" w:cs="Times New Roman" w:eastAsia="Times New Roman" w:hAnsi="Times New Roman"/>
                  <w:sz w:val="18"/>
                  <w:szCs w:val="18"/>
                  <w:color w:val="0000EE"/>
                  <w:w w:val="96"/>
                </w:rPr>
                <w:t>132</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760" w:type="dxa"/>
            <w:vAlign w:val="bottom"/>
            <w:gridSpan w:val="20"/>
          </w:tcPr>
          <w:p>
            <w:pPr>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Principal Accounting Fees and Services</w:t>
              </w:r>
            </w:hyperlink>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132</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9"/>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1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34">
              <w:r>
                <w:rPr>
                  <w:rFonts w:ascii="Times New Roman" w:cs="Times New Roman" w:eastAsia="Times New Roman" w:hAnsi="Times New Roman"/>
                  <w:sz w:val="18"/>
                  <w:szCs w:val="18"/>
                  <w:color w:val="0000EE"/>
                  <w:w w:val="99"/>
                </w:rPr>
                <w:t>Exhibits and Consolidated Financial Statement Schedules</w:t>
              </w:r>
            </w:hyperlink>
          </w:p>
        </w:tc>
        <w:tc>
          <w:tcPr>
            <w:tcW w:w="4600" w:type="dxa"/>
            <w:vAlign w:val="bottom"/>
            <w:gridSpan w:val="7"/>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34">
              <w:r>
                <w:rPr>
                  <w:rFonts w:ascii="Times New Roman" w:cs="Times New Roman" w:eastAsia="Times New Roman" w:hAnsi="Times New Roman"/>
                  <w:sz w:val="18"/>
                  <w:szCs w:val="18"/>
                  <w:color w:val="0000EE"/>
                  <w:w w:val="96"/>
                </w:rPr>
                <w:t>133</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Signatures</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142</w:t>
              </w:r>
            </w:hyperlink>
          </w:p>
        </w:tc>
      </w:tr>
      <w:tr>
        <w:trPr>
          <w:trHeight w:val="507"/>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15"/>
          </w:tcPr>
          <w:p>
            <w:pPr>
              <w:jc w:val="center"/>
              <w:ind w:left="351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following discussion relates to Mylan Inc. prior to the consummation of the Transaction, defined below, on February 27, 2015.</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Mylan Inc., along with its subsidiaries (collectively, the “Company,” “Mylan,” “our” or “we”), is a leading global pharmaceutical company, which develops, licenses, manufactures, markets and distributes generic, branded generic and specialty pharmaceuticals. Mylan is committed to setting new standards in health care and our mission is to provide the world’s 7 billion people access to high quality medicine. To do so, we innovate to satisfy unmet needs; make reliability and service excellence a habit; do what's right, not what's easy; and impact the future through passionate global leadership.</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Mylan offers one of the industry’s broadest product portfolios, including approximately 1,400 marketed products, to customers in approximately 140 countries and territories. With the completion of the Abbott Laboratories (“Abbott”) transaction discussed below, Mylan has expanded its global footprint to reach customers in approximately 145 countries and territories. We operate a global, high quality vertically-integrated manufacturing platform, which includes approximately 40 manufacturing facilities around the world and one of the world’s largest active pharmaceutical ingredient (“API”) operations. We also operate a strong research and development (“R&amp;D”) network that has consistently delivered a robust product pipeline. Additionally, Mylan has a specialty business that is focused on respiratory and allergy therapies.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Throughout its history, Mylan has been recognized as a leader in the United States (“U.S.”) generic pharmaceutical industry. Our leadership position is the result of, among other factors, our ability to efficiently obtain Abbreviated New Drug Application (“ANDA”) approvals and our reliable high quality supply chain.</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Through organic growth and transformative acquisitions since 2007, Mylan is one of the largest generic and specialty pharmaceuticals companies in the world today in terms of revenue and is now recognized as an industry leader globally.</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July 13, 2014, the Company entered into a definitive agreement with Abbott to acquire Abbott’s non-U.S. developed markets specialty and branded generics business (the “Business”) in an all-stock transaction. On November 4, 2014, the Company and Abbott entered into an amended and restated definitive agreement implementing the transaction (the “Transaction Agreement”). The transaction, defined below, closed on February 27, 2015 after receiving approval from Mylan’s shareholders on January 29, 2015. At closing, Abbott transferred the Business to Mylan N.V., (“New Mylan”) in exchange for 110 million ordinary shares of New Mylan. Immediately following the transfer of the Business, Mylan merged with a wholly owned subsidiary of New Mylan (together with the transfer of the Business, the “Transaction”), with Mylan becoming a wholly owned indirect subsidiary of New Mylan. Mylan’s outstanding common stock was exchanged on a one to one basis for New Mylan ordinary shares. As a result of the Transaction, New Mylan’s corporate seat is located in Amsterdam, the Netherlands, and its principal executive offices are located in Potters Bar, United Kingdom. New Mylan will also have global centers of excellence in the U.S., Europe and India.</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Business includes more than 100 specialty and branded generic pharmaceutical products in five major therapeutic areas and includes several patent protected, novel and/or hard-to-manufacture products. As a result of the acquisition, Mylan N.V. has significantly expanded and strengthened its product portfolio in Europe, Japan, Canada, Australia and New Zealand.</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of the Transaction, which was on a debt-free basis, was $6.31 billion based on the closing price of Mylan stock as of the Transaction closing date, as reported by the NASDAQ Stock Market. As a result of the Transaction, Mylan shareholders own approximately 78% of New Mylan and Abbott’s affiliates own approximately 22% of New Mylan. New Mylan and Abbott entered into a shareholder agreement in connection with the Transaction.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Through this Transaction, along with previous transformative acquisitions of Agila Specialties (‘‘Agila’’), Mylan Laboratories Limited (“Mylan India”), Merck KGaA’s generics and specialty pharmaceutical business, Bioniche Pharma Holdings Limited (“Bioniche Pharma”) and Pfizer Inc.’s respiratory delivery platform (the “respiratory delivery platform”), we have created a horizontally and vertically integrated platform with global scale, augmenting our diversified product portfolio and further expanding our range of capabilities, all of which we believe position us well for the future.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576" w:right="259" w:bottom="1440" w:gutter="0" w:footer="0" w:header="0"/>
        </w:sectPr>
      </w:pPr>
    </w:p>
    <w:bookmarkStart w:id="4" w:name="page5"/>
    <w:bookmarkEnd w:id="4"/>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Today, in addition to the U.S., Mylan has a robust worldwide commercial presence in the generic pharmaceutical market, including leadership positions in France and Australia and several other key European markets as well as markets around the world. Mylan is also a leader in branded specialty pharmaceuticals focusing on respiratory and allergy products.</w:t>
      </w:r>
    </w:p>
    <w:p>
      <w:pPr>
        <w:spacing w:after="0" w:line="17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Currently, Mylan markets a global portfolio of approximately 1,400 different products covering a vast array of therapeutic categories. We offer an extensive range of dosage forms and delivery systems, including oral solids, topicals, liquids and semi-solids while focusing on those products that are difficult to formulate and manufacture, and typically have longer life cycles than traditional generic pharmaceuticals, including transdermal patches, high potency formulations, injectables, controlled-release and respiratory products. In addition, we offer a wide range of antiretroviral therapies (“ARVs”), upon which approximately 40% of HIV/AIDS patients in developing countries depend. Mylan also operates one of the largest API manufacturers, supplying low cost, high quality API for our own products and pipeline as well as for a number of third parties.</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breadth and depth of our business and platform provide certain competitive advantages in major markets in which we operate, including less dependency on any single market or product. As a result, we are better able to successfully compete on a global basis than compared to many of our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Mylan was incorporated in Pennsylvania in 1970 and maintains its principal executive offices in Canonsburg, Pennsylvania. Mylan operates in two segments, “Generics” and “Specialty.” Our revenues are derived primarily from the sale of generic and branded generic pharmaceuticals, specialty pharmaceuticals and API. Our generic pharmaceutical business is conducted primarily in the U.S. and Canada (collectively, “North America”); Europe; and India, Australia, Japan, New Zealand and Brazil as well as our export activity into emerging markets (collectively, “Rest of World”). Our API business is conducted through Mylan India, which is included within Rest of World in our Generics segment. Our specialty pharmaceutical business is conducted by Mylan Specialty L.P. (“Mylan Specialty”). Refer to Note 12 for Consolidated Financial Statements included in Item 8 in this Form 10-K for additional information related to our segments, including our geographic markets.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global operational footprint, including the locations of our manufacturing facilities, global R&amp;D centers of excellence and technology focused development sites, along with the sites’ primary activities, are detailed on the map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114300</wp:posOffset>
            </wp:positionV>
            <wp:extent cx="5848985" cy="2941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global manufacturing platform is an important component of our business model. We own six production, distribution and warehousing facilities in the U.S. and Puerto Rico, including significant production and distribution sites in Morgantown, West Virginia; St. Albans, Vermont; Caguas, Puerto Rico; and Greensboro, North Carolina. Outside the U.S. and Puerto Rico, we own production, distribution and warehousing facilities in nine countries, including key facilities in India, Australia, Japan, Ireland, Brazil, Hungary, Poland and France. In addition, as a result of the Transaction, the Company acquired two high-quality manufacturing facilities in Chatillon, France and Katsuyama, Japan.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also leases warehousing, distribution and administrative facilities in numerous locations, within and outside of the U.S., including properties in New York, France, India, Ireland and the United Kingdom (“U.K.”). All of the production, distribution and warehousing facilities are included within the Generics segment; however, certain locations also support our Specialty segment.</w:t>
      </w:r>
    </w:p>
    <w:p>
      <w:pPr>
        <w:spacing w:after="0" w:line="17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global R&amp;D centers of excellence are located in Morgantown, West Virginia and Hyderabad, India. We also have specific R&amp;D technology centers of excellence in Ireland, India, the U.K. and Japan. As a result of the Transaction, New Mylan’s corporate seat is located in Amsterdam, the Netherlands, and its principal executive offices are located in Potters Bar, United Kingdom. New Mylan will also have global centers of excellence in the U.S., Europe and India.</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believe that all of our facilities are in good operating condition, the machinery and equipment are well-maintained, the facilities are suitable for their intended purposes and they have capacities adequate for the current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Generics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U.S. generics market is the largest in the world, with generic prescription sales of $55.6 billion for the twelve months ended November 2014. Mylan holds the number one ranking in the U.S. generics prescription market in terms of sales and the number two ranking in terms of prescriptions dispensed. Approximately one in every 13 prescriptions dispensed in the U.S. is a Mylan product. Our sales in the U.S. are derived primarily from the sale of oral solid dosage, injectable and transdermal products and unit dose offerings. In the U.S., we have one of the largest product portfolios among all generic pharmaceutical companies, consisting of approximately 360 products, of which approximately 270 are in capsule or tablet form, in an aggregate of approximately 815 dosage strengths. Included in these totals are approximately 45 extended-release products in a total of approximately 105 dosage strengths.</w:t>
      </w:r>
    </w:p>
    <w:p>
      <w:pPr>
        <w:spacing w:after="0" w:line="18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a diverse portfolio of injectable products across several key therapeutic areas, including antineoplastics, anti-infectives, anesthesia/pain management and cardiovascular. Our product offerings include a diverse portfolio of approximately 125 injectable products (branded and generic) in a total of approximately 175 dosage strengths. As of December 31, 2014, approximately 120 injectable products have been filed and are pending ANDA approval for the U.S. market. Mylan’s injectable manufacturing capabilities include vials, pre-filled syringes, ampoules and lyophilization with a focus on antineoplastics, penems, penicillins, ophthalmics and peptides.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unit dose business focuses on providing one of the largest product portfolios along with innovative packaging and barcoding that supports bedside verification throughout the U.S. and Canada for hospitals, group purchasing organizations (“GPOs”), long term care facilities, wholesalers, surgical services, home infusion service providers, correctional facilities, specialty pharmacies and retail outlets. In addition to the products we package in the U.S., we also market approximately 60 generic products in a total of approximately 80 dosage strengths under supply and distribution agreements with wholesalers. Also included in our U.S. product portfolio are five transdermal patch products in a total of 25 dosage strengths, including our Fentanyl Transdermal System (“Fentanyl”) which was the first AB-rated generic alternative to Duragesic® on the market and was also the first generic class II narcotic transdermal product ever approved.</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breadth and quality of our product offerings help us to successfully meet our customers’ needs and to better compete in the generic industry over the long-term. The future growth of our U.S. generics business is partially dependent upon continued acceptance of generic products as affordable alternatives to branded pharmaceuticals, a trend which is largely outside of our control. However, we believe that we can maximize the profitability of our generic product opportunities by continuing our proven track record of bringing to market high quality products that are difficult to formulate or manufacture. Over the last several years we have successfully introduced many generic products that are difficult to formulate or manufacture and continue to be meaningful contributors to our business several years after their initial launch. Additionally, we expect to achieve growth in our U.S. business by launching new products for which we may attain U.S. Food and Drug Administration (“FDA”) first-to-file status with Paragraph IV certification. As described further in the “Product Development and Government Regulation” discussion below, Paragraph IV certification qualifies the product approval holder for a period of generic marketing and distribution exclusivity.</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Canada, we offer a portfolio of approximately 170 products in an aggregate of approximately 375 dosage strengths and currently rank seventh in terms of market share in the generic prescription market. As in the U.S., growth in Canada will be dependent upon acceptance of generic products as affordable alternatives to branded pharmaceuticals. Further, we plan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96" w:right="239" w:bottom="1440" w:gutter="0" w:footer="0" w:header="0"/>
        </w:sectPr>
      </w:pPr>
    </w:p>
    <w:bookmarkStart w:id="6" w:name="page7"/>
    <w:bookmarkEnd w:id="6"/>
    <w:p>
      <w:pPr>
        <w:ind w:right="500"/>
        <w:spacing w:after="0" w:line="282" w:lineRule="auto"/>
        <w:rPr>
          <w:sz w:val="20"/>
          <w:szCs w:val="20"/>
          <w:color w:val="auto"/>
        </w:rPr>
      </w:pPr>
      <w:r>
        <w:rPr>
          <w:rFonts w:ascii="Times New Roman" w:cs="Times New Roman" w:eastAsia="Times New Roman" w:hAnsi="Times New Roman"/>
          <w:sz w:val="18"/>
          <w:szCs w:val="18"/>
          <w:color w:val="auto"/>
        </w:rPr>
        <w:t>leverage the strength and reliability of the Mylan brand to foster growth throughout the region. With the acquisition of Agila, we further diversified our pharmaceutical portfolio by adding generic injectable products in the Canadian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generic pharmaceutical sales in Europe are generated primarily by our wholly owned subsidiaries, through which we have operations in 22 countries. The types of markets within Europe vary from country to country; however, when combined, the European market is the second largest generic pharmaceutical market in the world in terms of value. Within Europe, by value, the generic prescription market in Germany is the largest, followed by the U.K., France, Spain and Italy, respectively. Of the top ten generic prescription markets in Europe, we hold leadership positions in several markets, described below, including the number one market share position in France, the number two market share position in Italy and the number three market share position in Portugal.</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European generic prescription market varies significantly by country in terms of the extent of generic penetration, the key decision maker in terms of drug choice and other important aspects. Some countries, including Germany, the U.K., the Netherlands and Poland, are characterized by relatively high generic penetration, ranging between 66% and 72% of total prescription market sales in the twelve months ended November 2014, based on volume. Conversely, other major European markets, including France, Italy and Spain, are characterized by much lower generic penetration, ranging between 19% and 40% of total prescription sales in the twelve months ended November 2014, based on volume. However, recent actions taken by governments, particularly in these latter under-penetrated countries, to reduce health care costs could encourage further use of generic pharmaceutical products. In each of these under-penetrated markets, in addition to growth from new product launches, we expect our future growth to be driven by increased generic utilization and penetration.</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manner in which products are marketed also varies by country. In addition to selling pharmaceuticals under their International Nonproprietary Name (“INN”) (i.e., API), in certain European countries, there is a market for both branded generic products and “company-branded” generic products. Branded generic pharmaceutical products are given a unique brand name, as these markets tend to be more responsive to the promotion efforts generally used to promote brand products. Company-branded products generally consist of the name of the active ingredient with a prefix or suffix of the company’s name, either in whole or in part.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227" w:lineRule="exact"/>
        <w:rPr>
          <w:sz w:val="20"/>
          <w:szCs w:val="20"/>
          <w:color w:val="auto"/>
        </w:rPr>
      </w:pPr>
    </w:p>
    <w:p>
      <w:pPr>
        <w:ind w:right="260" w:firstLine="648"/>
        <w:spacing w:after="0" w:line="289" w:lineRule="auto"/>
        <w:rPr>
          <w:sz w:val="20"/>
          <w:szCs w:val="20"/>
          <w:color w:val="auto"/>
        </w:rPr>
      </w:pPr>
      <w:r>
        <w:rPr>
          <w:rFonts w:ascii="Times New Roman" w:cs="Times New Roman" w:eastAsia="Times New Roman" w:hAnsi="Times New Roman"/>
          <w:sz w:val="17"/>
          <w:szCs w:val="17"/>
          <w:color w:val="auto"/>
        </w:rPr>
        <w:t>In France, we market a portfolio, including both oral solid and injectable dosage forms, of approximately 300 products in an aggregate of approximately 670 dosage strengths. We have the highest market share in the generic market, with a share of approximately 26%. Our future growth in the French market is expected to come primarily from new product launches and increased generic utilization and penetration through government initiatives.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Italy, we market a portfolio of approximately 170 products in an aggregate of approximately 340 dosage strengths. We have the second highest market share in the company-branded generic prescription market, with a share of approximately 19%. We believe that the Italian generic market is under-penetrated, with company-branded generics representing approximately 20% of the Italian pharmaceutical market, based on volume. The Italian government has put forth only limited measures aimed at encouraging generic use, and as a result, generic substitution is still in its early stages. Our growth in the Italian generics market will be fueled by increasing generic utilization and penetration and new product launches.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U.K., we market a portfolio of approximately 185 products in an aggregate of approximately 350 dosage strengths. Mylan is ranked fourth in the U.K. generic prescription market, in terms of value, with an estimated market share of approximately 6%. Mylan is well positioned in the U.K. as a preferred supplier to wholesalers and is also focused on areas such as multiple retail pharmacies and hospitals. The U.K. generic prescription market is highly competitive, and any growth in the market will stem from new product launches although we expect that the value will continue to be affected by price erosion.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w:t>
      </w:r>
    </w:p>
    <w:p>
      <w:pPr>
        <w:spacing w:after="0" w:line="22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Spain, we market a portfolio of approximately 135 products in an aggregate of approximately 290 dosage strengths. We have the seventh highest market share in the company-branded generic prescription market. The company-branded generic market comprised approximately 34% of the total Spanish pharmaceutical market by volume for the twelve months ended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580"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November 2014. We view further generic utilization and penetration of the Spanish market to be a key driver of our growth in that country.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Netherlands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Netherlands, we market a portfolio of approximately 230 products in an aggregate of approximately 480 dosage strengths. We have the fourth largest market share in the generic prescription market. The Netherlands is characterized by relatively high generic penetration representing approximately 67% of total prescription market sales in the twelve months ended November 2014, based on volume.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Germany, we market a portfolio of approximately 145 products in an aggregate of approximately 320 dosage strengths. A tender system has been implemented in Germany and, as a result, health insurers play a major role in this market. Under a tender system, health insurers invite manufacturers to submit bids that establish prices for generic pharmaceuticals. Pricing pressures result from an effort to win the tender. As a result of these tenders, our business in Germany has grown, and future growth in the German marketplace will depend upon our ability to compete based primarily on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Poland</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part of the acquisition of Agila, we acquired an injectable manufacturing facility in Poland. In addition, we also operate a commercial business in Poland focused on the generic prescription market. Our future growth is expected to come from increasing the production capacity of our injectable facility and through new product launches.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European Locations</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a notable presence in other European generic prescription markets, including Portugal, where we hold the third highest market share in terms of value. We also operate in several other European markets, including Ireland, the Nordic countries (principally Sweden and Finland), Belgium, the Czech Republic and Hungary.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 of World</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market generic pharmaceuticals in Rest of World through subsidiaries in India, Australia, Japan, New Zealand, Brazil and Taiwan. Additionally, we have an export business which is focused on countries in Africa and emerging markets throughout the world. We also participate in a collaboration with Pfizer Japan Inc. (“Pfizer Japan”) to develop, manufacture, distribute and market generic drugs in Japan. Additionally, through Mylan India, we market API to third parties and also supply other Mylan subsidiaries. We have the highest market share in both the Australian and New Zealand generic pharmaceuticals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India</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Mylan India manufactures and supplies low cost, high quality API for our own products and pipeline, as well as for numerous third parties. Mylan India is one of the world's largest API manufacturers as measured by the number of drug master files (“DMFs”) filed with regulatory agencies. Mylan India also produces a line of finished dosage form (“FDF”) products for the ARV market, which are sold mostly outside of India. Additionally, Mylan India manufactures non-ARV FDF products that are marketed and sold to third parties by other Mylan operations around the world. Expansion of Mylan India’s portfolio and an increase in product sales within India are both key drivers of our future growth.</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currently have over 300 APIs in the market or under development and we focus our marketing efforts on regulated markets such as the U.S. and the European Union (the “EU”). We produce API for use in the manufacture of our own pharmaceutical products, as well as for use by third parties, in a wide range of categories, including anti-bacterials, central nervous system agents, anti-histamine/anti-asthmatics, cardiovasculars, anti-virals, anti-diabetics, anti-fungals, proton pump inhibitors and pain management drugs.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Mylan India has nine API and intermediate manufacturing facilities, four FDF facilities and eight injectable facilities. All of these facilities are located in India. Eight of the API facilities, two FDF facilities and four injectable facilities have been successfully inspected by the FDA, which makes Mylan India one of the largest companies in India in terms of API manufacturing facilities that have passed FDA inspection. From an API standpoint, growth is dependent upon us continuing to</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580" w:right="279" w:bottom="1440" w:gutter="0" w:footer="0" w:header="0"/>
        </w:sectPr>
      </w:pPr>
    </w:p>
    <w:bookmarkStart w:id="8" w:name="page9"/>
    <w:bookmarkEnd w:id="8"/>
    <w:p>
      <w:pPr>
        <w:ind w:right="40"/>
        <w:spacing w:after="0" w:line="282" w:lineRule="auto"/>
        <w:rPr>
          <w:sz w:val="20"/>
          <w:szCs w:val="20"/>
          <w:color w:val="auto"/>
        </w:rPr>
      </w:pPr>
      <w:r>
        <w:rPr>
          <w:rFonts w:ascii="Times New Roman" w:cs="Times New Roman" w:eastAsia="Times New Roman" w:hAnsi="Times New Roman"/>
          <w:sz w:val="18"/>
          <w:szCs w:val="18"/>
          <w:color w:val="auto"/>
        </w:rPr>
        <w:t>leverage our R&amp;D capabilities to produce high quality, low cost API, while capitalizing on the greater API volumes afforded through our vertically integrated platform.</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August 2012, Mylan commenced commercial operations in India starting with the launch of a comprehensive portfolio of FDF ARV products for the treatment of HIV/AIDS. In June 2013, Mylan added a portfolio of women’s health care products focused on hormone and infertility treatments along with nutritional supplements. During December 2013, the portfolio was further enhanced by adding products from therapeutic categories such as oncology and critical care.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generic pharmaceutical market in Australia had sales of approximately $1.9 billion during the twelve months ended November 2014. Our Australian operation has the highest market share in the generic market with an estimated 31% market share by volume and we offer a portfolio of approximately 180 products in an aggregate of approximately 375 dosage strengths. The Australian generics market is still underdeveloped and, as a result, the government is increasingly focused on encouraging the use of generics in an effort to reduce costs. Maintaining our position of market leadership as the market undergoes further generic utilization and penetration and continued pricing pressure will be instrumental to our future success in Australia.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Beginning in 2013, we established an exclusive long-term strategic collaboration with Pfizer Japan to develop, manufacture, distribute and market generic drugs in Japan. Under the agreement, both parties operate separate legal entities in Japan and collaborate on current and future generic products, sharing the costs and profits resulting from such collaboration. Mylan’s responsibilities in Japan primarily consist of managing operations, including R&amp;D and manufacturing. Pfizer Japan’s responsibilities primarily consist of the commercialization of the combined generics portfolio and managing a combined marketing and sales effort.</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Japan, together with our partner Pfizer Japan, we offer a broad portfolio of more than 290 products in an aggregate of approximately 450 dosage strengths. We also have a manufacturing and packaging facility located in Japan, which is key to supplying our collaboration in Japan. Japan is the second largest pharmaceutical market in the world by value, behind the U.S., and the seventh largest generic prescription market worldwide by value, with sales of approximately $5.3 billion during the twelve months ended November 2014. Currently, the market is largely composed of hospitals and clinics, but pharmacies are expected to play a greater role as generic substitution, aided by recent pro-generics government action, becomes more prevalent. The Japanese government has stated that it intends to grow the generic share to 60% or higher by the end of March 2018. As of July 2014, the generic share reached 55%, up from approximately 47% at the end of 2013.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Zealand</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New Zealand, we are the largest generics company in the country, with 28% of the market share by volume. New Zealand is a government tender market where pharmaceutical suppliers can gain exclusivity of up to three years. New Zealand offers a portfolio of approximately 90 products in an aggregate of approximately 150 dosage strengths.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began commercial operations in Brazil in the fourth quarter of 2013 through the acquisition of Agila. In this market, we operate both a manufacturing platform and a commercial business focused on providing high quality generic injectable products to the Brazilian hospital segment. Our sales into this market segment are made through distributors as well as through tenders. Our goal is to build upon this local platform in order to further access the $22 billion Brazilian pharmaceutical market. We are actively working to utilize our global R&amp;D and manufacturing capabilities, along with our robust and differentiated product portfolio to meaningfully expand our hospital offerings in key therapeutic areas. In addition, we continue to explore opportunities to further leverage the Mylan platform and expand to other dosage forms and product offerings in Brazil.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Segment</w:t>
      </w:r>
    </w:p>
    <w:p>
      <w:pPr>
        <w:spacing w:after="0" w:line="22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Our specialty pharmaceutical business is conducted through Mylan Specialty, which competes primarily in the respiratory and severe allergy markets. Mylan Specialty’s portfolio consists primarily of branded specialty injectable and nebulized products. A significant portion of Mylan Specialty’s revenues are derived through the sale of the EpiPen® Auto-Injector. During 2014, the EpiPen® Auto-Injector became the first Mylan product to reach $1 billion in annual net sales.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580" w:right="259" w:bottom="1440" w:gutter="0" w:footer="0" w:header="0"/>
        </w:sectPr>
      </w:pPr>
    </w:p>
    <w:bookmarkStart w:id="9" w:name="page10"/>
    <w:bookmarkEnd w:id="9"/>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EpiPen® Auto-Injector, which is used in the treatment of severe allergic reactions, is an epinephrine auto-injector that has been sold in the U.S. and internationally since the mid-1980s. Mylan Specialty has worldwide rights to the epinephrine auto-injector, which is supplied to Mylan Specialty by a wholly owned subsidiary of Pfizer Inc. Anaphylaxis is a severe allergic reaction that is rapid in onset and may cause death, either through swelling that shuts off airways or through significant drop in blood pressure. In December 2010, the National Institute of Allergy and Infectious Diseases, a division of the National Institutes of Health, introduced the “Guidelines for the Diagnosis and Management of Food Allergy in the United States.” These guidelines state that epinephrine is the first line treatment for anaphylaxis. The EpiPen® Auto-Injector is the number one dispensed epinephrine auto-injector. The strength of the EpiPen® brand name, quality and ease of use of the product and the promotional strength of the Mylan Specialty U.S. sales force have enabled us to maintain our leadership position within this therapeutic category.</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Perforomist® Inhalation Solution, Mylan Specialty’s Formoterol Fumarate Inhalation Solution, was launched in October 2007. Perforomist® Inhalation Solution is a long-acting beta</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-adrenergic agonist indicated for long-term, twice-daily administration in the maintenance treatment of bronchoconstriction in chronic obstructive pulmonary disorder (“COPD”) patients, including those with chronic bronchitis and emphysema. Mylan Specialty has been issued several U.S. and international patents protecting Perforomist® Inhalation Solution.</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to EpiPen® Auto-Injector and Perforomist® Inhalation Solution, Mylan Specialty also markets ULTIVA®, which is an analgesic agent used during the induction and maintenance of general anesthesia for inpatient and outpatient procedures and is generally administered by an infusion device.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can continue to drive the long-term growth of our Specialty segment by successfully managing our existing product portfolio and bringing to market additional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and 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Generics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America</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Prescription pharmaceutical products in the U.S. are generally marketed as either brand or generic drugs. Brand products are usually marketed under brand names through marketing programs that are designed to generate physician and consumer loyalty. Brand products generally are patent protected, which provides a period of market exclusivity during which time they are sold with little or no competition for the compound, although there typically are other participants in the therapeutic area. Additionally, brand products may benefit from other periods of non-patent market exclusivity. Exclusivity normally provides brand products with the ability to maintain their profitability for relatively long periods of time and brand products typically continue to play a significant role in the market due to physician and consumer loyalties after the end of patent protection or other market exclusivities.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Generic pharmaceutical products are the pharmaceutical and therapeutic equivalents of the brand or a reference listed drug (“RLD”). A reference listed brand drug is an approved drug product listed in the FDA publication entitled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popularly known as the “Orange Book.” The Drug Price Competition and Patent Term Restoration Act of 1984 (the “Hatch-Waxman Act”) provides that generic drugs may enter the market after the approval of an ANDA, which requires that bioequivalence to a reference brand drug be demonstrated and the expiration, invalidation or non-infringement of any patents on the corresponding reference brand drug, or the end of any other relevant market exclusivity periods related to the reference brand drug. Generic drugs are bioequivalent to their reference brand name counterparts. Accordingly, generic products provide a safe, effective and cost-efficient alternative to users of these reference brand products. Branded generic pharmaceutical products are generic products that are more responsive to the promotion efforts generally used to promote brand products. Growth in the generic pharmaceutical industry has been, and will continue to be, driven by the increased market acceptance of generic drugs, as well as the number of brand drugs for which patent terms and/or other market exclusivities have expired.</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obtain new generic products primarily through internal product development. Additionally, we license or co-develop products through arrangements with other companies. All applications for FDA approval must contain information relating to product formulation, raw material suppliers, stability, manufacturing processes, packaging, labeling and quality control. Information to support the bioequivalence of generic drug products or the safety and effectiveness of new drug products for their intended use is also required to be submitted. There are generally two types of applications used for obtaining FDA approval of new products: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6" w:right="239" w:bottom="1440" w:gutter="0" w:footer="0" w:header="0"/>
        </w:sectPr>
      </w:pPr>
    </w:p>
    <w:bookmarkStart w:id="10" w:name="page11"/>
    <w:bookmarkEnd w:id="10"/>
    <w:p>
      <w:pPr>
        <w:ind w:left="82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Drug Application (“NDA”) </w:t>
      </w:r>
      <w:r>
        <w:rPr>
          <w:rFonts w:ascii="Times New Roman" w:cs="Times New Roman" w:eastAsia="Times New Roman" w:hAnsi="Times New Roman"/>
          <w:sz w:val="18"/>
          <w:szCs w:val="18"/>
          <w:color w:val="auto"/>
        </w:rPr>
        <w:t>— An NDA is filed when approval is sought to market a newly developed branded product and,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for a new dosage form, a new delivery system or a new indication for a previously approved drug.</w:t>
      </w:r>
    </w:p>
    <w:p>
      <w:pPr>
        <w:spacing w:after="0" w:line="158" w:lineRule="exact"/>
        <w:rPr>
          <w:sz w:val="20"/>
          <w:szCs w:val="20"/>
          <w:color w:val="auto"/>
        </w:rPr>
      </w:pPr>
    </w:p>
    <w:p>
      <w:pPr>
        <w:ind w:left="82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ANDA — </w:t>
      </w:r>
      <w:r>
        <w:rPr>
          <w:rFonts w:ascii="Times New Roman" w:cs="Times New Roman" w:eastAsia="Times New Roman" w:hAnsi="Times New Roman"/>
          <w:sz w:val="18"/>
          <w:szCs w:val="18"/>
          <w:color w:val="auto"/>
        </w:rPr>
        <w:t>An ANDA is filed when approval is sought to market a generic equivalent of a drug product previously approved under an NDA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in the FDA’s Orange Book or for a new dosage strength for a drug previously approved under an ANDA.</w:t>
      </w:r>
    </w:p>
    <w:p>
      <w:pPr>
        <w:spacing w:after="0" w:line="16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ANDA development process is generally less time-consuming and complex than the NDA development process. It typically does not require new preclinical and clinical studies, because it relies on the studies establishing safety and efficacy conducted for the RLD previously approved through the NDA process. The ANDA process, however, does typically require one or more bioequivalence studies to show that the ANDA drug is bioequivalent to the previously approved reference listed brand drug. Bioequivalence studies compare the bioavailability of the proposed drug product with that of the RLD product containing the same active ingredient. Bioavailability is a measure of the rate and extent to which the active ingredient or active moiety is absorbed from a drug product and becomes available at the site of action. Thus, a demonstration of bioequivalence confirms the absence of a significant difference between the proposed product and the reference listed brand drug in terms of the rate and extent to which the active ingredient or active moiety becomes available at the site of drug action when administered at the same molar dose under similar conditions.</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Generic products are generally introduced to the marketplace at the expiration of patent protection for the brand product or at the end of a period of non-patent market exclusivity. However, if an ANDA applicant files an ANDA containing a certification of invalidity, non-infringement or unenforceability related to a patent listed in the Orange Book with respect to a reference drug product, the applicant may be able to market the generic equivalent prior to the expiration of patent protection for the brand product. Such patent certification is commonly referred to as a Paragraph IV certification. If the holder of the NDA sues, claiming infringement or invalidation, within 45 days of notification by the applicant, the FDA may not approve the ANDA application until the earlier of the rendering of a court decision favorable to the ANDA applicant or the expiration of 30 months. An ANDA applicant that is first to file a Paragraph IV certification is eligible for a period of generic marketing exclusivity. This exclusivity, which under certain circumstances may be required to be shared with other applicable ANDA sponsors with Paragraph IV certifications, lasts for 180 days, during which the FDA cannot grant final approval to other ANDA sponsors holding applications for a generic equivalent to the same reference drug.</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patent exclusivity, the holder of the NDA for the listed drug may be entitled to a period of non-patent market exclusivity, during which the FDA cannot approve an application for a generic version product. If the reference drug is a new chemical entity, the FDA may not accept an ANDA for a generic product for up to five years following approval of the NDA for the new chemical entity. If it is not a new chemical entity, but the holder of the NDA conducted clinical trials essential to approval of the NDA or a supplement thereto, the FDA may not approve an ANDA for reference NDA product before the expiration of three years. Certain other periods of exclusivity may be available if the RLD is indicated for treatment of a rare disease or the sponsor conducts pediatric studies in accordance with FDA requirements.</w:t>
      </w:r>
    </w:p>
    <w:p>
      <w:pPr>
        <w:spacing w:after="0" w:line="18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Supplemental ANDAs are required for approval of various types of changes to an approved application and these supplements may be under review for six months or more. In addition, certain types of changes may only be approved once new bioequivalence studies are conducted or other requirements are satisfied.</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number of branded pharmaceutical patent expirations are expected over the next several years. These patent expirations should provide additional generic product opportunities. We intend to concentrate our generic product development activities on branded products with significant sales in specialized or growing markets or in areas that offer significant opportunities and other competitive advantages. In addition, we intend to continue to focus our development efforts on technically difficult-to-formulate products or products that require advanced manufacturing technology.</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Biologic License Application (“BLA”) regulatory pathway was created to review and approve new applications for drugs that are typically produced in living cells. In 2010, in the context of the adoption of the Patient Protection and Affordable Care Act — H.R. 3590 and the Healthcare and Education Reconciliation Act of 2010 — H.R. 4872, an abbreviated pathway for the approval of generic versions of BLA-approved products (“biosimilars”) in the U.S. was created. This happened after legislation or regulatory guidance for abbreviated pathways for generic biologics were adopted in the past years in the EU, Japan and Canada. The FDA is working to implement these provisions and Mylan is a very active participant in this process.</w:t>
      </w:r>
    </w:p>
    <w:p>
      <w:pPr>
        <w:spacing w:after="0" w:line="184"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An additional requirement for FDA approval of NDAs and ANDAs is that our manufacturing procedures and operations conform to FDA requirements and guidelines, generally referred to as current Good Manufacturing Practices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794" w:right="259" w:bottom="1440" w:gutter="0" w:footer="0" w:header="0"/>
        </w:sectPr>
      </w:pPr>
    </w:p>
    <w:bookmarkStart w:id="11" w:name="page12"/>
    <w:bookmarkEnd w:id="11"/>
    <w:p>
      <w:pPr>
        <w:ind w:right="540"/>
        <w:spacing w:after="0" w:line="282" w:lineRule="auto"/>
        <w:rPr>
          <w:sz w:val="20"/>
          <w:szCs w:val="20"/>
          <w:color w:val="auto"/>
        </w:rPr>
      </w:pPr>
      <w:r>
        <w:rPr>
          <w:rFonts w:ascii="Times New Roman" w:cs="Times New Roman" w:eastAsia="Times New Roman" w:hAnsi="Times New Roman"/>
          <w:sz w:val="18"/>
          <w:szCs w:val="18"/>
          <w:color w:val="auto"/>
        </w:rPr>
        <w:t>(“cGMP”). The requirements for FDA approval encompass all aspects of the production process, including validation and recordkeeping, the standards around which are continuously changing and evolving.</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Facilities, procedures, operations and/or testing of products are subject to periodic inspection by the FDA, the Drug Enforcement Administration (“DEA”) and other authorities. In addition, the FDA conducts pre-approval and post-approval reviews and plant inspections to determine whether our systems and processes are in compliance with cGMP and other FDA regulations. Our suppliers are subject to similar regulations and periodic inspections.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2012, the Food and Drug Administration Safety and Innovation Act (“FDASIA”) was enacted into law. FDASIA is intended to enhance the safety and security of the U.S. drug supply chain by holding all drug manufacturers supplying products to the U.S. to the same FDA inspection standards. Specifically, prior to the passage of FDASIA, U.S. law required U.S. based manufacturers to be inspected by FDA every two years but remained silent with respect to foreign manufacturers, causing some foreign manufacturers to go as many as nine years without a routine FDA cGMP inspection, according to the Government Accountability Office.</w:t>
      </w:r>
    </w:p>
    <w:p>
      <w:pPr>
        <w:spacing w:after="0" w:line="18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FDASIA also includes the Generic Drug User Fee Agreement (“GDUFA”), a novel user fee program to provide FDA with approximately $1.5 billion in total user fees through 2018 focused on three key aims:</w:t>
      </w:r>
    </w:p>
    <w:p>
      <w:pPr>
        <w:spacing w:after="0" w:line="160" w:lineRule="exact"/>
        <w:rPr>
          <w:sz w:val="20"/>
          <w:szCs w:val="20"/>
          <w:color w:val="auto"/>
        </w:rPr>
      </w:pPr>
    </w:p>
    <w:p>
      <w:pPr>
        <w:ind w:left="8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Safety – </w:t>
      </w:r>
      <w:r>
        <w:rPr>
          <w:rFonts w:ascii="Times New Roman" w:cs="Times New Roman" w:eastAsia="Times New Roman" w:hAnsi="Times New Roman"/>
          <w:sz w:val="18"/>
          <w:szCs w:val="18"/>
          <w:color w:val="auto"/>
        </w:rPr>
        <w:t>Ensure that industry participants, foreign or domestic, are held to consistent quality standards and are inspected with foreign and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parity using a risk-based approach.</w:t>
      </w:r>
    </w:p>
    <w:p>
      <w:pPr>
        <w:spacing w:after="0" w:line="158" w:lineRule="exact"/>
        <w:rPr>
          <w:sz w:val="20"/>
          <w:szCs w:val="20"/>
          <w:color w:val="auto"/>
        </w:rPr>
      </w:pPr>
    </w:p>
    <w:p>
      <w:pPr>
        <w:ind w:left="82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Access – </w:t>
      </w:r>
      <w:r>
        <w:rPr>
          <w:rFonts w:ascii="Times New Roman" w:cs="Times New Roman" w:eastAsia="Times New Roman" w:hAnsi="Times New Roman"/>
          <w:sz w:val="18"/>
          <w:szCs w:val="18"/>
          <w:color w:val="auto"/>
        </w:rPr>
        <w:t>Expedite the availability of generic drugs by bringing greater predictability to the review times for abbreviated new drug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and supplements and improving timeliness in the review process.</w:t>
      </w:r>
    </w:p>
    <w:p>
      <w:pPr>
        <w:spacing w:after="0" w:line="158" w:lineRule="exact"/>
        <w:rPr>
          <w:sz w:val="20"/>
          <w:szCs w:val="20"/>
          <w:color w:val="auto"/>
        </w:rPr>
      </w:pPr>
    </w:p>
    <w:p>
      <w:pPr>
        <w:ind w:left="82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Transparency – </w:t>
      </w:r>
      <w:r>
        <w:rPr>
          <w:rFonts w:ascii="Times New Roman" w:cs="Times New Roman" w:eastAsia="Times New Roman" w:hAnsi="Times New Roman"/>
          <w:sz w:val="18"/>
          <w:szCs w:val="18"/>
          <w:color w:val="auto"/>
        </w:rPr>
        <w:t>Enhance FDA’s visibility into the complex global supply environment by requiring the identification of facilities involved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of drugs and associated APIs, and improve FDA’s communications and feedback with industry.</w:t>
      </w:r>
    </w:p>
    <w:p>
      <w:pPr>
        <w:spacing w:after="0" w:line="160"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Under GDUFA, 70% of the total fees are being derived from facility fees paid by FDF manufacturers and API facilities listed or referenced in pending or approved generic drug applications. The remaining 30% of the total fees are being derived from application fees, including generic drug application fees, prior approval supplement fees and DMF fees.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Canada, the registration process for approval of all generic pharmaceuticals has two tracks that proceed in parallel. The first track of the process involves an examination of the proposed generic product by Health Canada, the Federal department responsible for national public health, to ensure that the quality, safety and efficacy of the proposed generic product meets Canadian standards and bioequivalence requirements and the second track concerns patent rights of the brand drug owner. Companies may submit an application called an abbreviated new drug submission (“ANDS”) to Health Canada for sale of the drug in Canada by comparing the drug to another drug marketed in Canada under a Notice of Compliance (“NOC”) issued to a first person. When Health Canada is satisfied that the generic pharmaceutical product described in the ANDS satisfies the statutory requirements, it issues an NOC for that product for the uses specified in the ANDS, subject to any court order that may be made in the second track of the approval process.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second track of the approval process is governed by the Patented Medicines NOC Regulations (“Regulations”). The owner or exclusive licensee of patents relating to the brand drug for which it has an NOC may have established a list of patents administered by Health Canada enumerating all the patents claiming the medicinal ingredient, formulation, dosage form or the use of the medicinal ingredient. It is possible that even though the patent for the API may have expired, the originator may have other patents on the list which relate to new forms of the API, a formulation or additional uses. Most brand name drugs have an associated patent list containing one or more unexpired patents claiming the medicinal ingredient itself or a use of the medicinal ingredient (a claim for the use of the medicinal ingredient for the diagnosis, treatment, mitigation or prevention of a disease, disorder or abnormal physical state or its symptoms). In its ANDS, a generic applicant must make at least one of the statutory allegations with respect to each patent on the patent list, for example, alleging that the patent is invalid or would not be infringed and explaining the basis for that allegation. In conjunction with filing its ANDS, the generic applicant is required to serve the originator a Notice of Allegation (“NOA”), which gives a detailed statement of the factual and legal basis for its allegations in the ANDS. The originator may commence a court application within 45 days after it has been served with the NOA, if it takes the position that the allegations are not justified. When the application is filed in court and served on Health Canada, Health Canada may not issue an NOC until the earlier of the determination of the application by the court after a hearing or the expiration of 24 months from the commencement of the application. The period may be shortened or lengthened by the court in certain circumstances. An NOC can be obtained for a generic product only if the generic respondent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is successful in dismissing the application under the Regulations in court. The legal costs incurred in connection with the application could be substantial.</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C.08.004.1 of the Canadian Food and Drug Regulations is the so-called data protection provision, and the current version of this section applies in respect of all drugs for which an NOC was issued on or after June 17, 2006. A subsequent applicant for approval to market a drug for which an NOC has already been issued does not need to perform duplicate clinical trials similar to those conducted by the first NOC holder, but is permitted to demonstrate safety and efficacy by submitting data demonstrating that its formulation is bioequivalent to the formulation that was issued for the first NOC. The first party to obtain an NOC for a drug will have an eight-year period of exclusivity starting from the date it received its NOC based on those clinical data. A subsequent applicant for approval who seeks to establish safety and efficacy by comparing its product to the product that received the first NOC will not be able to file its own application until six years following the issuance of the first NOC have expired. The Minister of Health will not be permitted to issue an NOC to that applicant until eight years following the issuance of the first NOC have expired — this additional two-year period will correspond in most cases to the 24-month automatic stay under the Regulations. If the first person provides the Minister with the description and results of clinical trials relating to the use of the drug in pediatric populations, it will be entitled to an extra six months of data protection. A drug is only entitled to data protection so long as it is being marketed in Canada.</w:t>
      </w:r>
    </w:p>
    <w:p>
      <w:pPr>
        <w:spacing w:after="0" w:line="19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Facilities, procedures, operations and/or testing of products are subject to periodic inspection by Health Canada and the Health Products and Food Branch Inspectorate. In addition, Health Canada conducts pre-approval and post-approval reviews and plant inspections to determine whether our systems are in compliance with the good manufacturing practices in Canada, Drug Establishment Licensing (“EL”) requirements and other provisions of the Regulations. Competitors are subject to similar regulations and inspections.</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provinces and territories in Canada operate drug benefit programs through which eligible recipients receive drugs through public funding; these drugs are listed on provincial or territorial Drug Benefit Formularies (each, a “Formulary”). Eligible recipients include seniors, persons on social assistance, low-income earners and those with certain specified conditions or diseases. Formulary listings are also used by private payors to reimburse generic products. To be listed in a Formulary, drug products must have been issued an NOC and must comply with each jurisdiction’s individual review process.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primary regulatory approval for pharmaceutical manufacturers, distributors and importers selling pharmaceuticals to be marketed in Canada is the issuance of an EL. An EL is issued once Health Canada has approved the facility in which the pharmaceuticals are manufactured, distributed or imported. A key requirement for approval of a facility is compliance with the good manufacturing practices in Canada. For pharmaceuticals that are imported, the license for the importing facility must list all foreign sites at which imported pharmaceuticals are manufactured. To be listed, a foreign site must demonstrate compliance with the good manufacturing practices in Canada.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EU presents complex challenges from a regulatory perspective. There is over-arching legislation which is then implemented at a local level by the 28 individual member states, Iceland, Liechtenstein and Norway. Between 1995 and 1998, the legislation was revised in an attempt to simplify and harmonize product registration. This revised legislation introduced the mutual recognition (“MR”) procedure, whereby after submission and approval by the authorities of the so-called reference member state (“RMS”), further applications can be submitted into the other chosen member states (known as concerned member states (“CMS”)). Theoretically, the authorization of the RMS should be mutually recognized by the CMS. More typically, however, a degree of re-evaluation is carried out by the CMS. In November 2005, this legislation was further revised. In addition to the MR procedure, the decentralized procedure (“DCP”) was introduced. The DCP is also led by the RMS, but applications are simultaneously submitted to all selected countries, provided that no national marketing authorization has been granted yet for the medicinal product in question. From 2005, the centralized procedure operated by the European Medicines Agency (“EMA”) became available for generic versions of innovator products approved through the centralized authorization procedure. The centralized procedure results in a single marketing authorization, which, once granted, can be used by the marketing-authorization holder to file for individual country reimbursement and make the medicine available in all the EU countries listed on the application.</w:t>
      </w:r>
    </w:p>
    <w:p>
      <w:pPr>
        <w:spacing w:after="0" w:line="19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the EU, as well as many other locations around the world, the manufacture and sale of pharmaceutical products is regulated in a manner substantially similar to that of the U.S. requirements, which generally prohibit the handling, manufacture, marketing and importation of any pharmaceutical product unless it is properly registered in accordance with applicable law. The registration file relating to any particular product must contain medical data related to product efficacy and safety, including results of clinical testing and references to medical publications, as well as detailed information regarding production</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580" w:right="279" w:bottom="1440" w:gutter="0" w:footer="0" w:header="0"/>
        </w:sectPr>
      </w:pPr>
    </w:p>
    <w:bookmarkStart w:id="13" w:name="page14"/>
    <w:bookmarkEnd w:id="13"/>
    <w:p>
      <w:pPr>
        <w:ind w:right="660"/>
        <w:spacing w:after="0" w:line="282" w:lineRule="auto"/>
        <w:rPr>
          <w:sz w:val="20"/>
          <w:szCs w:val="20"/>
          <w:color w:val="auto"/>
        </w:rPr>
      </w:pPr>
      <w:r>
        <w:rPr>
          <w:rFonts w:ascii="Times New Roman" w:cs="Times New Roman" w:eastAsia="Times New Roman" w:hAnsi="Times New Roman"/>
          <w:sz w:val="18"/>
          <w:szCs w:val="18"/>
          <w:color w:val="auto"/>
        </w:rPr>
        <w:t>methods and quality control. Health ministries are authorized to cancel the registration of a product if it is found to be harmful or ineffective or if it is manufactured or marketed other than in accordance with registration conditions.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MR procedure, a marketing authorization is first sought in one member state from the national regulatory agency (the RMS). The RMS makes its assessment report on the quality, efficacy and safety of the medicinal product available to the other CMSs where marketing authorizations are also sought under the MR procedure.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DCP is based on the same fundamental idea as the MR procedure. In contrast to the MR procedure, however, the DCP requires that no national marketing authorization has yet been granted for the medicinal product. The pharmaceutical company applies for marketing authorization simultaneously in all the member states of the EU in which it wants to market the product. After consultation with the pharmaceutical company, one of the member states concerned in the DCP will become the RMS. The competent agency of the RMS undertakes the scientific evaluation of the medicinal product on behalf of the other CMSs and coordinates the procedure. If all the member states involved (RMS and CMS) agree to grant marketing authorizations, this decision forms the basis for the granting of the national marketing authorizations in the respective member states.</w:t>
      </w:r>
    </w:p>
    <w:p>
      <w:pPr>
        <w:spacing w:after="0" w:line="18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Neither the MR nor DCPs result in automatic approval in all member states. If any member state has objections, particularly in relation to potential serious risk to public health, which cannot be resolved within the procedure scope and timelines, they will be referred to the coordination group for MR and DCPs and reviewed in a 60-day procedure. If this 60-day procedure does not result in a consensus by all member states, the product can be marketed in the countries whose health authorities agree that the product can be licensed. The issue raised will then enter a second referral procedure.</w:t>
      </w:r>
    </w:p>
    <w:p>
      <w:pPr>
        <w:spacing w:after="0" w:line="180" w:lineRule="exact"/>
        <w:rPr>
          <w:sz w:val="20"/>
          <w:szCs w:val="20"/>
          <w:color w:val="auto"/>
        </w:rPr>
      </w:pPr>
    </w:p>
    <w:p>
      <w:pPr>
        <w:ind w:right="460" w:firstLine="648"/>
        <w:spacing w:after="0" w:line="289" w:lineRule="auto"/>
        <w:rPr>
          <w:sz w:val="20"/>
          <w:szCs w:val="20"/>
          <w:color w:val="auto"/>
        </w:rPr>
      </w:pPr>
      <w:r>
        <w:rPr>
          <w:rFonts w:ascii="Times New Roman" w:cs="Times New Roman" w:eastAsia="Times New Roman" w:hAnsi="Times New Roman"/>
          <w:sz w:val="17"/>
          <w:szCs w:val="17"/>
          <w:color w:val="auto"/>
        </w:rPr>
        <w:t>As with the MR procedure, the advantage of the DCP is that the pharmaceutical company receives identical marketing authorizations for its medicinal product in all the member states of the EU in which it wants to market the product. This leads to considerable streamlining of all regulatory activities in regard to the product. Variations, line extensions, renewals, etc. are also handled in a coordinated manner with the RMS leading the activity.</w:t>
      </w:r>
    </w:p>
    <w:p>
      <w:pPr>
        <w:spacing w:after="0" w:line="15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Once a DCP has been completed, the pharmaceutical company can subsequently apply for marketing authorizations for the medicinal product in additional EU member states by means of the MR procedure.</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All products, whether centrally authorized or authorized by the MR or DCP, may only be sold in other member states if the product information is in the official language of the state in which the product will be sold, which effectively requires specific packaging and labeling of the product.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national procedure, a company applies for a marketing authorization in one member state. The national procedure can now only be used if the pharmaceutical company does not seek authorization in more than one member state. If it does seek wider marketing authorizations, it must use the MR or DCP.</w:t>
      </w:r>
    </w:p>
    <w:p>
      <w:pPr>
        <w:spacing w:after="0" w:line="176"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Before a generic pharmaceutical product can be marketed in the EU, a marketing authorization must be obtained. If a generic pharmaceutical product is shown to be essentially the same as, or bioequivalent to, one that is already on the market and which has been authorized in the EU for a specified number of years, as explained in the section on data exclusivity below, no further preclinical or clinical trials are required for that new generic pharmaceutical product to be authorized. The generic applicant can file an abridged application for marketing authorization, but in order to take advantage of the abridged procedure, the generic manufacturer must demonstrate specific similarities, including bioequivalence, to the already authorized product. Access to clinical data of the reference drug is governed by the European laws relating to data exclusivity, which are outlined below. Other products, such as new dosages of established products, must be subjected to further testing, and “bridging data” in respect of these further tests must be submitted along with the abridged application.</w:t>
      </w:r>
    </w:p>
    <w:p>
      <w:pPr>
        <w:spacing w:after="0" w:line="1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 applicant for a generic marketing authorization currently cannot avail itself of the abridged procedure in the EU by relying on the originator pharmaceutical company’s data until expiry of the relevant period of exclusivity given to that data. For products first authorized prior to October 30, 2005, this period is six or ten years (depending on the member state in question and/or the regulatory procedure used by the originator) after the grant of the first marketing authorization sought for the relevant product, due to data exclusivity provisions which have been in place. From October 30, 2005, the implementation of a new EU directive (2004/27/EC) harmonized the data exclusivity period for originator pharmaceutical products throughout the EU member states, which were legally obliged to have implemented the directive by October 30, 2005. The new regime for data exclusivity provides for an eight-year data exclusivity period commencing from the grant of first marketing authorization. After the eight-year period has expired, a generic applicant can refer to the data of the originator pharmaceutical company in order to file an abridged application for approval of its generic equivalent product. Yet, conducting the necessary studies and trials for an abridged application, within the data exclusivity period, is not regarded as contrary to patent rights or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supplementary protection certificates for medicinal products. However, the applicant will not be able to launch its product for an additional two years. This ten-year total period may be extended to 11 years if the original marketing authorization holder obtains, within those initial eight years, a further authorization for a new therapeutic use of the product which is shown to be of significant clinical benefit. Further, specific data exclusivity for one year may be obtained for a new indication for a well-established substance, provided that significant preclinical or clinical studies were carried out in relation to the new indication. This new regime for data exclusivity applies to products first authorized after October 30, 2005.</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addition to obtaining approval for each product, in most EU countries the pharmaceutical product manufacturer’s facilities must obtain approval from the national supervisory authority. The EU has a code of good manufacturing practice, with which the marketing authorization holder must comply. Regulatory authorities in the EU may conduct inspections of the manufacturing facilities to review procedures, operating systems and personnel qualifications.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order to control expenditures on pharmaceuticals, most member states in the EU regulate the pricing and reimbursement of products and in some cases limit the range of different forms of drugs available for prescription by national health services. These controls can result in considerable price differences between member states. In addition, in past years, as part of overall programs to reduce health care costs, certain European governments have prohibited price increases and have introduced various systems designed to lower prices. Some European governments have also set minimum targets for generics prescribing.</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Certain markets in which Mylan does business have recently undergone, some for the first time, or will soon undergo, government-imposed price reductions or similar pricing pressures on pharmaceutical products. In addition, a number of markets in which we operate have implemented or may implement tender, or tender-like, systems for generic pharmaceuticals in an effort to lower prices. Such measures are likely to have a negative impact on sales and gross profit in these markets. However, some pro-generic government initiatives in certain markets could help to offset some of this unfavorable effect by potentially increasing generic utilization.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 of World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pharmaceutical industry is one of the most highly regulated industries in Australia. The Australian government is heavily involved in the operation of the industry, through the registration of medicines and licensing of manufacturing facilities, as well as subsidizing patient cost of most prescription medicines sold in Australia. The Australian government authority, the Therapeutic Goods Administration (the “TGA”), regulates the quality, safety and efficacy of therapeutic goods and is responsible for granting authorization to market pharmaceutical products in Australia and for inspecting and approving manufacturing facilities.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TGA operates according to the Commonwealth of Australia’s Therapeutic Goods Act 1989 (Cth) (the “Act”). Specifically the Act regulates the registration, listing, quality, safety, efficacy, promotion and sale of therapeutic goods, including pharmaceuticals, supplied in Australia. The TGA carries out a range of assessment and monitoring activities to ensure that therapeutic goods available in Australia are of an acceptable standard with a goal of ensuring that the Australian community has access within a reasonable time to therapeutic advances. Australian manufacturers of all medicines must be licensed under Part 3-3 of the Act and their manufacturing processes must comply with the principles of the good manufacturing practices in Australia. Similar standards and audits apply for both domestic and foreign manufactured products.</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Generic medicines are subject to an abbreviated review process by the TGA, if the product can demonstrate essential similarity to the originator brand. Essential similarity means the same active ingredient in the same dose form, delivering the active ingredient to the patient at the same rate and extent, compared to the original brand. If proven, safety and efficacy is assumed to be the same.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All therapeutic goods manufactured for supply in Australia must be listed or registered in the Australian Register of Therapeutic Goods (the “ARTG”), before they can be promoted or supplied for use and/or sale in Australia. The ARTG is a database kept for the purpose of compiling information in relation to therapeutic goods for use in humans and lists therapeutic goods which are approved for supply in Australia.</w:t>
      </w:r>
    </w:p>
    <w:p>
      <w:pPr>
        <w:spacing w:after="0" w:line="17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Medicines assessed as having a higher level of risk must be registered, while those with a lower level of risk can be listed. The majority of listed medicines are self-selected by consumers and used for self-treatment. In assessing the level of risk, factors such as the strength of a product, side effects, potential harm through prolonged use, toxicity and the seriousness of the medical condition for which the product is intended to be used are taken into account.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5" w:name="page16"/>
    <w:bookmarkEnd w:id="15"/>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Labeling, packaging and advertising of pharmaceutical products are also regulated by the Act and other relevant statutes including fair trading laws and pharmaceutical industry codes.</w:t>
      </w:r>
    </w:p>
    <w:p>
      <w:pPr>
        <w:spacing w:after="0" w:line="16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Australia has a five-year data exclusivity period, whereby any data relating to a pharmaceutical product cannot be referred to or used in the examination by the TGA of another company's dossier, until five years after the original product was approved.</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Pharmaceutical Benefits Scheme (the “PBS”), which has been in place since 1948, subsidizes the cost to consumers of medicines listed on the PBS, if the medicines have demonstrated acceptable clinical need, cost and effectiveness. The goal of the PBS is to make medicines available at the lowest cost compatible with reliable supply and to base access on medical need rather than ability to pay.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government exerts a significant degree of control over the pharmaceuticals market through the PBS. More than 80% of all prescription medicine sold in Australia is reimbursed by the PBS. The PBS is operated under the Commonwealth of Australia's National Health Act 1953. This statute governs matters such as who may sell pharmaceutical products, the prices at which pharmaceutical products may be sold to consumers and the prices government pays manufacturers, wholesalers and pharmacists for subsidized medicines.</w:t>
      </w:r>
    </w:p>
    <w:p>
      <w:pPr>
        <w:spacing w:after="0" w:line="18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If a new medicine is to be considered for listing on the PBS, the price is determined through a full health economic analysis submitted to the government's advisory committee, the Pharmaceutical Benefits Advisory Committee (the “PBAC”), based on incremental benefit to health outcome. If the incremental benefit justifies the price requested, the PBAC then makes a recommendation to the government to consider listing the product on the PBS. In May 2014, as part of a government reform program in Australia, the Pharmaceutical Benefits Pricing Authority was abolished and the Minister for Health (“Minister”), or delegate, considers pricing matters for approximately five to six weeks following PBAC meetings. Factors contributing to pricing decisions include items such as information on the claims made in a submission, advice from the PBAC, information about the proposed price, the price and use of comparative medicines and the cost of producing the medicine although with additional associated costs. The Minister may recommend that the proposed price is accepted; further negotiations take place for a lower price or prices within a specific range; or for some products, risk sharing arrangements to be developed and agreed upon. The Australian government's purchasing power is used to obtain lower prices as a means of controlling the cost of the program. The PBS also stipulates the wholesaler margin for drugs listed on the PBS. Wholesalers therefore have little pricing power over the majority of their product range and as a result are unable to increase profitability by increasing prices.</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Following entry of the first generic products onto the market, the PBS price reimbursed to pharmacies decreases by 16% for both the originator product and generic products with a brand equivalence indicator permitting substitution at the pharmacy level. Thereafter, both the originator and generic suppliers are required to disclose pricing information relating to the sale of medicines to the Price Disclosure Data Administrator, and twelve months (up until October 2014, it was 18 months) after initial generic entry, there is a further PBS price reduction based on the weighted average disclosed price if the weighted average disclosed price is 10% or more below the existing PBS price. Ongoing price disclosure cycles and calculation of the weighted average disclosed price occur every six months, and further reductions are made to the PBS price whenever the weighted average disclosed price is 10% or more below the existing PBS price. The price disclosure system has had, and will continue to have for several years beyond 2014, a negative impact on sales and gross profit in this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Japan, we are governed by various laws and regulations, including the Pharmaceutical Affairs Law (Law No. 145, 1960), as amended by the Pharmaceuticals and Medical Devices Law (“PMDL”), and the Products Liability Law (Law No. 85, 1994). The PMDL was amended in November 2014 to establish a fast-track authorization process for regenerative medicine products, restructure medical device regulation and establish reporting obligations for package inserts for drugs and medical devices. Regenerative medicine products are newly defined under the amended PMDL as a product for medical use in humans to reconstruct, restore, or form the structure or function of a human body, in which cells of humans are cultured or otherwise processed.</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amended PMDL, there are two routes to obtain authorization to manufacture and market a medicine product. The first route is the standard authorization system for drugs in which the efficacy and safety of the product must be shown in order to obtain authorization. The standard authorization procedure may take a significant amount of time to launch a regenerative medicine product because the quality of regenerative medicine products is heterogeneous by nature and therefore it is difficult to collect the data necessary to evaluate and demonstrate the efficacy. As such, the amended PMDL instituted the second route as follows: if the regenerative medicine product is heterogeneous, the efficacy of the regenerative medicine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96" w:right="239" w:bottom="1440" w:gutter="0" w:footer="0" w:header="0"/>
        </w:sectPr>
      </w:pPr>
    </w:p>
    <w:bookmarkStart w:id="16" w:name="page17"/>
    <w:bookmarkEnd w:id="16"/>
    <w:p>
      <w:pPr>
        <w:ind w:right="160"/>
        <w:spacing w:after="0" w:line="266" w:lineRule="auto"/>
        <w:rPr>
          <w:sz w:val="20"/>
          <w:szCs w:val="20"/>
          <w:color w:val="auto"/>
        </w:rPr>
      </w:pPr>
      <w:r>
        <w:rPr>
          <w:rFonts w:ascii="Times New Roman" w:cs="Times New Roman" w:eastAsia="Times New Roman" w:hAnsi="Times New Roman"/>
          <w:sz w:val="18"/>
          <w:szCs w:val="18"/>
          <w:color w:val="auto"/>
        </w:rPr>
        <w:t>product is assumed. Thus, if the safety of the regenerative medicine product is demonstrated through clinical trials, the Minister of the Ministry of Health, Labor and Welfare (“MHLW”) may authorize the applicant to manufacture and market the regenerative medicine product with certain conditions for a fixed term after receiving an expert opinion from the Pharmaceutical Affairs and Food Sanitation Council.</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amended PMDL also restructured medical device regulations including expanding the scope for certification in accordance with the classifications agreed upon by the Global Harmonization Task Force, new regulations on medical device software in which software may be authorized as a medical device independent of the medical device hardware into which it is incorporated, system change for medical device manufacturing so that a company may manufacture a medical device when the company registers such medical device and streamlined Quality Management Service Inspection such that the inspection is performed for each category of medical products.</w:t>
      </w:r>
    </w:p>
    <w:p>
      <w:pPr>
        <w:spacing w:after="0" w:line="18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In addition, under the amended PMDL, the holder of a business license for the manufacture and marketing of regenerative medicine products or medical devices must notify the MHLW of the contents of the package insert, including any cautionary statements necessary to use and deal with the products, before it manufactures and markets them. The license holder must also publish the contents of the package inserts on the website of the Pharmaceuticals and Medical Devices Agency.</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Under the amended PMDL, the retailing or supply of a pharmaceutical that a person has manufactured (including manufacturing under license) or imported is defined as “marketing,” and in order to market pharmaceuticals, one has to obtain a license, which we refer to herein as a Marketing License, from the MHLW. The authority to grant the “Marketing License,” is delegated to prefectural governors; therefore, the relevant application must be filed with the relevant prefectural governor. A Marketing License will not be granted if the quality control system for the pharmaceutical for which the Marketing License has been applied or the post-marketing safety management system for the relevant pharmaceutical does not comply with the standards specified by the relevant Ministerial Ordinance made under the Pharmaceutical Affairs Law.</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Marketing License, a person intending to market a pharmaceutical must, for each product, obtain marketing approval from the MHLW with respect to such marketing, which we refer to herein as “Marketing Approval.” Marketing Approval is granted subject to examination of the name, ingredients, quantities, structure, administration and dosage, method of use, indications and effects, performance and adverse reactions, and the quality, efficacy and safety of the pharmaceutical. A person intending to obtain Marketing Approval must attach materials, such as data related to the results of clinical trials (including a bioequivalence study, in the case of generic pharmaceuticals) or conditions of usage in foreign countries. Japan provides for market exclusivity through a re- examination system, which prevents the entry of generic pharmaceuticals until the end of the re-examination period, which can be up to eight years, and ten years in the case of drugs used to treat rare diseases (“orphan drugs”).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authority to grant Marketing Approval in relation to pharmaceuticals for certain specified purposes (e.g., cold medicines and decongestants) is delegated to the prefectural governors by the MHLW, and applications in relation to such pharmaceuticals must be filed with the governor of the relevant prefecture where the relevant company’s head office is located. Applications for pharmaceuticals for which the authority to grant the Marketing Approval remains with the MHLW must be filed with the Pharmaceuticals and Medical Devices Agency. When an application is submitted for a pharmaceutical whose active ingredients, quantities, administration and dosage, method of use, indications and effects are distinctly different from those of pharmaceuticals which have already been approved, the MHLW must seek the opinion of the Pharmaceutical Affairs and Food Sanitation Council.</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amended PMDL provides that when (a) the pharmaceutical that is the subject of an application is shown not to result in the indicated effects or performance indicated in the application, (b) the pharmaceutical is found to have no value as a pharmaceutical because it has harmful effects outweighing its indicated effects or performance, or (c) in addition to (a) and (b) above, when the pharmaceutical falls within the category designated by the relevant Ministerial Ordinance as not being appropriate as a pharmaceutical, Marketing Approval shall not be granted.</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MHLW must cancel a Marketing Approval, after hearing the opinion of the Pharmaceutical Affairs and Food Sanitation Council, when the MHLW finds that the relevant pharmaceutical falls under any of (a) through (c) above. In addition, the MHLW can order the amendment of a Marketing Approval when it is necessary to do so from the viewpoint of public health and hygiene. Moreover, the MHLW can order the cancellation or amendment of a Marketing Approval when (1) the necessary materials for re-examination or re-evaluation, which the MHLW has ordered considering the character of pharmaceuticals, have not been submitted, false materials have been submitted or the materials submitted do not comply with the criteria specified by the MHLW, (2) the relevant company’s Marketing License has expired or has been canceled (a Marketing License needs to be renewed every five years), (3) the regulations regarding investigations of facilities in relation to manufacturing management standards or quality control have been violated, (4) the conditions set in relation to the Marketing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Approval have been violated, or (5) the relevant pharmaceutical has not been marketed for three consecutive years without a due reason.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Doctors and pharmacists providing medical services pursuant to national health insurance are prohibited from using pharmaceuticals other than those specified by the MHLW. The MHLW also specifies the standards of pharmaceutical prices, which we refer to herein as Drug Price Standards. The Drug Price Standards are used as the basis of the calculation of the price paid by medical insurance for pharmaceuticals. The governmental policy relating to medical services and the health insurance system, as well as the Drug Price Standards, is revised every two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Brazil, pharmaceutical manufacturers and products are regulated by the National Agency of Sanitary Surveillance (“ANVISA”). ANVISA is a governmental body directly linked to the Ministry of Health, responsible for promoting the protection of the health of the population through the sanitary control of production, storage, distribution, importation and marketing of products and services subject to sanitary surveillance. ANVISA is responsible for registering drugs and supervising quality control, as well as issuing licenses to companies for the manufacturing, handling, packaging, distribution, advertising, importation and exportation of pharmaceutical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API</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primary regulatory oversight of API manufacturers is through inspection of the manufacturing facility in which APIs are produced, as well as the manufacturing processes and standards employed in the facility. The regulatory process by which API manufacturers generally register their products for commercial sale in the U.S. and other similarly regulated countries is via the filing of a DMF. DMFs are confidential documents containing information on the manufacturing facility and processes used in the manufacture, characterization, quality control, packaging and storage of an API. The DMF is reviewed for completeness by the FDA, or other similar regulatory agencies in other countries, in conjunction with applications filed by FDF manufacturers, requesting approval to use the given API in the production of their drug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Segment</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pharmaceutical product with active ingredients that have not been previously approved may be marketed in the U.S. generally involves the following:</w:t>
      </w:r>
    </w:p>
    <w:p>
      <w:pPr>
        <w:spacing w:after="0" w:line="54" w:lineRule="exact"/>
        <w:rPr>
          <w:sz w:val="20"/>
          <w:szCs w:val="20"/>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preclinical tests;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Investigational New Drug (“IND”) application, which must become effective before clinical studies may begin;</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studies to establish the safety and efficacy of the proposed product for its intended use;</w:t>
      </w:r>
    </w:p>
    <w:p>
      <w:pPr>
        <w:spacing w:after="0" w:line="117" w:lineRule="exact"/>
        <w:rPr>
          <w:rFonts w:ascii="Times New Roman" w:cs="Times New Roman" w:eastAsia="Times New Roman" w:hAnsi="Times New Roman"/>
          <w:sz w:val="18"/>
          <w:szCs w:val="18"/>
          <w:color w:val="auto"/>
        </w:rPr>
      </w:pPr>
    </w:p>
    <w:p>
      <w:pPr>
        <w:ind w:left="1140" w:right="220" w:hanging="322"/>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NDA containing the results of the preclinical tests and clinical studies establishing the safety and efficacy of the proposed product for its intended use, as well as extensive data addressing matters such as manufacturing and quality assurance;</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to commercial manufacturing;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an NDA.</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the product and its chemistry, formulation and stability, as well as toxicology and pharmacology studies to help define the pharmacological profile of the drug and assess the potential safety and efficacy of the product. The results of these studies are submitted to the FDA as part of the IND. They must demonstrate that the product delivers sufficient quantities of the drug to the bloodstream or intended site of action to produce the desired therapeutic results before human clinical trials may begin. These studies must also provide the appropriate supportive safety information necessary for the FDA to determine whether the clinical studies proposed to be conducted under the IND can safely proceed. The IND automatically becomes effective 30 days after receipt by the FDA unless the FDA, during that 30-day period, raises concerns or questions about the conduct of the proposed trials, as outlined in the IND. In such cases, the IND sponsor and the FDA must resolve any outstanding concerns before clinical trials may begin. In addition, an independent institutional review board must review and approve any clinical study prior to initiation.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80" w:right="2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Human clinical studies are typically conducted in three sequential phases, which may overlap:</w:t>
      </w:r>
    </w:p>
    <w:p>
      <w:pPr>
        <w:spacing w:after="0" w:line="115" w:lineRule="exact"/>
        <w:rPr>
          <w:sz w:val="20"/>
          <w:szCs w:val="20"/>
          <w:color w:val="auto"/>
        </w:rPr>
      </w:pPr>
    </w:p>
    <w:p>
      <w:pPr>
        <w:ind w:left="1140" w:right="140" w:hanging="322"/>
        <w:spacing w:after="0" w:line="284"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 </w:t>
      </w:r>
      <w:r>
        <w:rPr>
          <w:rFonts w:ascii="Times New Roman" w:cs="Times New Roman" w:eastAsia="Times New Roman" w:hAnsi="Times New Roman"/>
          <w:sz w:val="18"/>
          <w:szCs w:val="18"/>
          <w:color w:val="auto"/>
        </w:rPr>
        <w:t>The drug is initially introduced into a relatively small number of healthy human subjects or patients and is tested for safety,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mechanism of action, absorption, metabolism, distribution and excretion.</w:t>
      </w:r>
    </w:p>
    <w:p>
      <w:pPr>
        <w:spacing w:after="0" w:line="50" w:lineRule="exact"/>
        <w:rPr>
          <w:rFonts w:ascii="Times New Roman" w:cs="Times New Roman" w:eastAsia="Times New Roman" w:hAnsi="Times New Roman"/>
          <w:sz w:val="18"/>
          <w:szCs w:val="18"/>
          <w:color w:val="auto"/>
        </w:rPr>
      </w:pPr>
    </w:p>
    <w:p>
      <w:pPr>
        <w:ind w:left="1140" w:hanging="322"/>
        <w:spacing w:after="0" w:line="284"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 </w:t>
      </w:r>
      <w:r>
        <w:rPr>
          <w:rFonts w:ascii="Times New Roman" w:cs="Times New Roman" w:eastAsia="Times New Roman" w:hAnsi="Times New Roman"/>
          <w:sz w:val="18"/>
          <w:szCs w:val="18"/>
          <w:color w:val="auto"/>
        </w:rPr>
        <w:t>Studies are performed with a limited patient population to identify possible adverse effects and safety risks, to assess the efficacy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for specific targeted diseases or conditions, and to determine dosage tolerance and optimal dosage.</w:t>
      </w:r>
    </w:p>
    <w:p>
      <w:pPr>
        <w:spacing w:after="0" w:line="50"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 </w:t>
      </w:r>
      <w:r>
        <w:rPr>
          <w:rFonts w:ascii="Times New Roman" w:cs="Times New Roman" w:eastAsia="Times New Roman" w:hAnsi="Times New Roman"/>
          <w:sz w:val="18"/>
          <w:szCs w:val="18"/>
          <w:color w:val="auto"/>
        </w:rPr>
        <w:t>When Phase II evaluations demonstrate that a dosage range of the product is effective and has an acceptable safety profile,</w:t>
      </w:r>
    </w:p>
    <w:p>
      <w:pPr>
        <w:spacing w:after="0" w:line="29" w:lineRule="exact"/>
        <w:rPr>
          <w:rFonts w:ascii="Times New Roman" w:cs="Times New Roman" w:eastAsia="Times New Roman" w:hAnsi="Times New Roman"/>
          <w:sz w:val="18"/>
          <w:szCs w:val="18"/>
          <w:color w:val="auto"/>
        </w:rPr>
      </w:pPr>
    </w:p>
    <w:p>
      <w:pPr>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III trials are undertaken to evaluate further dosage and clinical efficacy and to test further for safety in an expanded patient population at geographically dispersed clinical study sites.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results of the product development, preclinical studies and clinical studies are then submitted to the FDA as part of the NDA. The NDA drug development and approval process could take from three to more than ten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R&amp;D efforts are conducted on a global basis, primarily to enable us to develop, manufacture and market approved pharmaceutical products in accordance with applicable government regulations. Through various acquisitions, we have significantly bolstered our global R&amp;D capabilities over the past several years, particularly in injectables and respiratory therapies. In the U.S., our largest market, the FDA is the principal regulatory body with respect to pharmaceutical products. Each of our other markets has separate pharmaceutical regulatory bodies, including, but not limited to, the Agence Nationale de Securite du Medicament et de Sante in France, Health Canada, the Medicines and Healthcare products Regulatory Agency in the U.K., the EMA (a decentralized body of the EU), the Bundesinstitut für Arzneimittel und Medizinprodukte in Germany, the Irish Medicines Board in Ireland, the Agenzia Italiana del Farmaco in Italy, the Agencia Española de Medicamentos y Productos Sanitarios in Spain, the TGA in Australia, the MHLW in Japan, Drug Controller General of India, ANVISA in Brazil and the World Health Organization (“WHO”), the regulatory body of the United Nations.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global R&amp;D strategy emphasizes the following areas:</w:t>
      </w:r>
    </w:p>
    <w:p>
      <w:pPr>
        <w:spacing w:after="0" w:line="117" w:lineRule="exact"/>
        <w:rPr>
          <w:sz w:val="20"/>
          <w:szCs w:val="20"/>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both branded and generic finished dose products for the global marketplace, including ARV programs;</w:t>
      </w:r>
    </w:p>
    <w:p>
      <w:pPr>
        <w:spacing w:after="0" w:line="117"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pharmaceutical products that are technically difficult to formulate or manufacture because of either unusual factors that affect their stability or bioequivalence or unusually stringent regulatory requirements;</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novel controlled-release technologies and the application of these technologies to reference products;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drugs that target smaller, specialized or underserved markets;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generic drugs that represent first-to-file opportunities in the U.S. market;</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existing oral solid dosage product portfolio, including with respect to additional dosage strengths;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injectable products;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unit dose oral inhalation products for nebulization;</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APIs;</w:t>
      </w:r>
    </w:p>
    <w:p>
      <w:pPr>
        <w:spacing w:after="0" w:line="117"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compounds using a dry powder inhaler and/or metered-dose inhaler for the treatment of asthma, COPD and other respiratory therapies;</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monoclonal anti-bodies (“biologics”);</w:t>
      </w:r>
    </w:p>
    <w:p>
      <w:pPr>
        <w:spacing w:after="0" w:line="117"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additional preclinical and clinical studies for approved NDA products required by the FDA, known as post-approval (Phase IV) commitments; and</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life-cycle management studies intended to further define the profile of products subject to pending or approved NDAs.</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success of generic biologics in the marketplace and our ability to be successful in this emerging market will depend on the implementation of balanced scientific standards for approval, while not imposing excessive clinical testing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ind w:right="300"/>
        <w:spacing w:after="0" w:line="266" w:lineRule="auto"/>
        <w:rPr>
          <w:sz w:val="20"/>
          <w:szCs w:val="20"/>
          <w:color w:val="auto"/>
        </w:rPr>
      </w:pPr>
      <w:r>
        <w:rPr>
          <w:rFonts w:ascii="Times New Roman" w:cs="Times New Roman" w:eastAsia="Times New Roman" w:hAnsi="Times New Roman"/>
          <w:sz w:val="18"/>
          <w:szCs w:val="18"/>
          <w:color w:val="auto"/>
        </w:rPr>
        <w:t>demands or other hurdles for well-established products. Furthermore, an efficient patent resolution mechanism and a well-defined mechanism to grant interchangeability after the establishment of biosimilarity with the reference biological product will be key elements determining our future success in this area.</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a robust generic pipeline. As of December 31, 2014, we had approximately 3,300 country level product approvals pending. During 2014, we completed 767 global country level product submissions, which included 64 in North America, 510 in Europe and 193 in Rest of World. These submissions included those for existing products in new markets as well as products new to the Mylan portfolio.</w:t>
      </w:r>
    </w:p>
    <w:p>
      <w:pPr>
        <w:spacing w:after="0" w:line="17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we received 513 product approvals globally, including individual country level approvals. Of that total, there were 101 approvals in North America, including 65 in the U.S., 239 approvals in Europe and 173 approvals in Rest of World, of which 42 approvals were for ARV products. The 42 country level ARV approvals received consisted of 14 products in 13 different countries, with seven ARV approvals in the U.S. based upon the U.S. President’s Emergency Plan for AIDS Relief. The 65 approvals in the U.S. consisted of 54 final ANDA approvals and 11 tentative ANDA approvals. The 239 approvals in Europe covered 80 different products resulting in a total of 639 product marketing licenses. The 173 approvals in Rest of World included 131 approvals from emerging markets which represented 41 products in 24 countries.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2014, we had 283 ANDAs pending FDA approval, representing approximately $111.3 billion in annual sales for the brand name equivalents of these products for the year ended December 31, 2014. Of those pending product applications, 44 were first-to-file Paragraph IV ANDA patent challenges, representing approximately $29.3 billion in annual brand sales for the year ended December 31, 2014. The historic branded drug sales are not indicative of future generic sales, but are included to illustrate the size of the branded product market. Our R&amp;D spending was $582 million, $508 million and $401 million for the years ended December 31, 2014,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We own or license a number of patents in the U.S. and other countries covering certain products and have also developed brand names and trademarks for other products. Generally, the brand pharmaceutical business relies upon patent protection to ensure market exclusivity for the life of the patent. We consider the overall protection of our patents, trademarks and license rights to be of significant value and act to protect these rights from infringement. However, our business is not dependent upon any single patent, trademark or license.</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branded pharmaceutical industry, the majority of an innovative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The rate of this decline varies by country and by therapeutic category; however, following patent expiration, branded products often continue to have market viability based upon the goodwill of the product name, which typically benefits from trademark protection.</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 innovator product’s market exclusivity is generally determined by two forms of intellectual property: patent rights held by the innovator company and any regulatory forms of exclusivity to which the innovator is entitled.</w:t>
      </w:r>
    </w:p>
    <w:p>
      <w:pPr>
        <w:spacing w:after="0" w:line="16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Patents are a key determinant of market exclusivity for most branded pharmaceuticals. Patents provide the innovator with the right to lawfully exclude others from practicing an invention related to the medicine. Patents may cover, among other things, the active ingredient(s), various uses of a drug product, pharmaceutical formulations, drug delivery mechanisms and processes for (or intermediates useful in) the manufacture of products. Protection for individual products extends for varying periods in accordance with the expiration dates of patents in the various countries. The protection afforded, which may also vary from country to country, depends upon the type of patent, its scope of coverage and the availability of meaningful legal remedies in the country.</w:t>
      </w:r>
    </w:p>
    <w:p>
      <w:pPr>
        <w:spacing w:after="0" w:line="1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is also sometimes influenced by regulatory intellectual property rights. Many developed countries provide certain non-patent incentives for the development of medicines. For example, the U.S., the EU and Japan each provide for a minimum period of time after the approval of a new drug during which the regulatory agency may not rely upon the innovator’s data to approve a competitor’s generic copy. Regulatory intellectual property rights are also available in certain markets as incentives for research on new indications, on orphan drugs and on medicines useful in treating pediatric patients. Regulatory intellectual property rights are independent of any patent rights and can be particularly important when a drug lacks broad patent protection. However, most regulatory forms of exclusivity do not prevent a competitor from gaining regulatory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approval prior to the expiration of regulatory data exclusivity on the basis of the competitor’s own safety and efficacy data on its drug, even when that drug is identical to that marketed by the innovator.</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estimate the likely market exclusivity period for each of our branded products on a case-by-case basis. It is not possible to predict the length of market exclusivity for any of our branded products with certainty because of the complex interaction between patent and regulatory forms of exclusivity and inherent uncertainties concerning patent litigation. There can be no assurance that a particular product will enjoy market exclusivity for the full period of time that we currently estimate or that the exclusivity will be limited to the estimate.</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patents and regulatory forms of exclusivity, we also market products with trademarks. Trademarks have no effect on market exclusivity for a product, but are considered to have marketing value. Trademark protection continues in some countries as long as used; in other countries, as long as registered. Registration is for fixed terms and may be renewed indefinitely.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Generics Segment</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North America, we market products directly to wholesalers, distributors, retail pharmacy chains, long-term care facilities, mail order pharmacies and GPOs. We also market our generic products indirectly to independent pharmacies, managed care organizations, hospitals, nursing homes, pharmacy benefit management companies and government entities. These customers, called “indirect customers,” purchase our products primarily through our wholesale customers. In North America, wholesalers and retail drug chains have undergone, and are continuing to undergo, significant consolidation, which may result in these groups gaining additional purchasing leverage.</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Europe and Rest of World, generic pharmaceuticals are sold to wholesalers, independent pharmacies and, in certain countries, directly to hospitals. Through a broad network of sales representatives, we adapt our marketing strategy to the different markets as dictated by their respective regulatory and competitive landscapes. Our API are sold primarily to generic FDF manufacturers throughout the world, as well as to other Mylan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Segment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Mylan Specialty markets its products to a number of different customer audiences in the U.S., including health care practitioners, wholesalers, pharmacists and pharmacy chains, hospitals, payers, pharmacy benefit manager, health maintenance organizations (“HMOs”), home health care, long-term care and patients. We reach these customers through our field-based sales force and National Accounts team of approximately 370 employees, to increase our customers’ understanding of the unique clinical characteristics and benefits of our branded products. Additionally, Mylan Specialty supports educational programs to consumers and patients.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Customers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represents the percentage of consolidated third party net sales to Mylan’s major customers during 2014, 2013 and 2012.</w:t>
      </w:r>
    </w:p>
    <w:p>
      <w:pPr>
        <w:spacing w:after="0" w:line="23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Percentage of Third Party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24765</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McKesson Corporation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AmeriSourceBergen Corporation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Cardinal Health,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Consistent with industry practice, we have a return policy that allows our customers to return product within a specified period prior to and subsequent to the expiration date. See the Application of Critical Accounting Policies section of our “Management’s Discussion and Analysis of Results of Operations and Financial Condition” for a discussion of our more significant revenue recognition provisions.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Our primary competitors include other generic companies (both major multinational generic drug companies and various local generic drug companies) and branded drug companies that continue to sell or license branded pharmaceutical products after patent expirations and other statutory expirations. In the branded space, key competitors are generally other branded drug companies that compete based on their clinical characteristics and benefits.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Competitive factors in the major markets in which we participate can be summarized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United States. </w:t>
      </w:r>
      <w:r>
        <w:rPr>
          <w:rFonts w:ascii="Times New Roman" w:cs="Times New Roman" w:eastAsia="Times New Roman" w:hAnsi="Times New Roman"/>
          <w:sz w:val="17"/>
          <w:szCs w:val="17"/>
          <w:color w:val="auto"/>
        </w:rPr>
        <w:t>The U.S. pharmaceutical industry is very competitive. Our competitors vary depending upon therapeutic areas and product categories.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competitors include the major manufacturers of brand name and generic pharmaceuticals.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primary means of competition are innovation and development, timely FDA approval, manufacturing capabilities, product quality, marketing, portfolio size, customer service, reputation and price. The environment of the U.S. pharmaceutical marketplace is highly sensitive to price. To compete effectively, we rely on cost-effective manufacturing processes to meet the rapidly changing needs of our customers around a reliable, high quality supply of generic pharmaceutical products. With regard to our Specialty segment business, significant sales and marketing effort is required to be directed to each targeted customer segment in order to compete effectively.</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competitors include other generic manufacturers, as well as brand companies that license their products to generic manufacturers prior to patent expiration or as relevant patents expire. Further regulatory approval is not required for a brand manufacturer to sell its pharmaceutical products directly or through a third-party to the generic market, nor do such manufacturers face any other significant barriers to entry into such market. Related to our Specialty segment business, our competitors include branded manufacturers who offer products for the treatment of COPD and severe allergies, as well as brand companies that license their products to generic manufacturers prior to patent expiration.</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U.S. pharmaceutical market is undergoing, and is expected to continue to undergo, rapid and significant technological changes, and we expect competition to intensify as technological advances are made. We intend to compete in this marketplace by (1) developing therapeutic equivalents to branded products that offer unique marketing opportunities, are difficult to formulate and/or have significant market size, (2) developing or licensing brand pharmaceutical products that are either patented or proprietary and (3) developing or licensing pharmaceutical products that are primarily for indications having relatively large patient populations or that have limited or inadequate treatments available, among other strategies.</w:t>
      </w:r>
    </w:p>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sales can be impacted by new studies that indicate that a competitor’s product has greater efficacy for treating a disease or particular form of a disease than one of our products. Sales on some of our products can also be impacted by additional labeling requirements relating to safety or convenience that may be imposed on our products by the FDA or by similar regulatory agencies. If competitors introduce new products and processes with therapeutic or cost advantages, our products can be subject to progressive price reductions and/or decreased volume of sales.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Medicaid, a U.S. federal health care program, requires all pharmaceutical manufacturers to pay rebates to state Medicaid agencies. The rebates are based on the volume of drugs that are reimbursed by the states for Medicaid beneficiaries. The Patient Protection and Affordable Care Act (the “PPACA”) and the Health Care and Education and Reconciliation Act of 2010, which amends the PPACA, raised the rebate percentages effective January 1, 2010. The required rebate is currently 13% of the average manufacturer’s price for sales of Medicaid-reimbursed non-innovator products, up from 11% for periods prior to 2010. Sales of Medicaid-reimbursed innovator or single-source products require manufacturers to rebate the greater of approximately 23% (up from 15%) of the average manufacturer’s price or the difference between the average manufacturer’s price and the best price during a specific period. We believe that federal or state governments may continue to enact measures aimed at reducing the cost of drugs to the public.</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Under Part D of the Medicare Modernization Act, Medicare beneficiaries are eligible to obtain discounted prescription drug coverage from private sector providers. As a result, usage of pharmaceuticals has increased, which is a trend that we believe will continue to benefit the generic pharmaceutical industry. However, such potential sales increases may be offset by increased pricing pressures, due to the enhanced purchasing power of the private sector providers that are negotiating on behalf of Medicare beneficiaries.</w:t>
      </w:r>
    </w:p>
    <w:p>
      <w:pPr>
        <w:spacing w:after="0" w:line="17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Canada. </w:t>
      </w:r>
      <w:r>
        <w:rPr>
          <w:rFonts w:ascii="Times New Roman" w:cs="Times New Roman" w:eastAsia="Times New Roman" w:hAnsi="Times New Roman"/>
          <w:sz w:val="18"/>
          <w:szCs w:val="18"/>
          <w:color w:val="auto"/>
        </w:rPr>
        <w:t>Canada is a well-established generics market characterized by a number of local and multi-national competitors. The individual Canadian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provinces control pharmaceutical pricing and reimbursement. A number of Canada’s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576"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provinces are moving towards a tender system, which has and may continue to negatively affect the pricing of pharmaceutical products.</w:t>
      </w:r>
    </w:p>
    <w:p>
      <w:pPr>
        <w:spacing w:after="0" w:line="22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France. </w:t>
      </w:r>
      <w:r>
        <w:rPr>
          <w:rFonts w:ascii="Times New Roman" w:cs="Times New Roman" w:eastAsia="Times New Roman" w:hAnsi="Times New Roman"/>
          <w:sz w:val="18"/>
          <w:szCs w:val="18"/>
          <w:color w:val="auto"/>
        </w:rPr>
        <w:t>Generic penetration in France is relatively low compared to other large pharmaceutical markets, with low prices resulting from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initiatives. As pharmacists are the primary customers in this market, established relationships, driven by breadth of portfolio and effective supply chain management, are key competitive advantages.</w:t>
      </w:r>
    </w:p>
    <w:p>
      <w:pPr>
        <w:spacing w:after="0" w:line="17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Italy. </w:t>
      </w:r>
      <w:r>
        <w:rPr>
          <w:rFonts w:ascii="Times New Roman" w:cs="Times New Roman" w:eastAsia="Times New Roman" w:hAnsi="Times New Roman"/>
          <w:sz w:val="18"/>
          <w:szCs w:val="18"/>
          <w:color w:val="auto"/>
        </w:rPr>
        <w:t>The Italian generic market is relatively small due to few incentives for market stakeholders and in part to low prices on available brand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drugs. Also to be considered is the fact that the generic market in Italy suffered a certain delay compared to other European countries due to extended patent protection. The Italian government has put forth only limited measures aimed at increasing generic usage, and as such generic substitution is still in its early stages. Pharmacists will play a key role in future market expansion, due to higher margins provided by generic versus branded products.</w:t>
      </w:r>
    </w:p>
    <w:p>
      <w:pPr>
        <w:spacing w:after="0" w:line="18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Kingdom. </w:t>
      </w:r>
      <w:r>
        <w:rPr>
          <w:rFonts w:ascii="Times New Roman" w:cs="Times New Roman" w:eastAsia="Times New Roman" w:hAnsi="Times New Roman"/>
          <w:sz w:val="18"/>
          <w:szCs w:val="18"/>
          <w:color w:val="auto"/>
        </w:rPr>
        <w:t>The U.K. is one of the most competitive markets, with low barriers to entry and a high degree of fragmentation.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manufacturers, along with indirect control of pricing by the government, has led to strong downward pricing pressure. Companies in the U.K. will continue to compete on price, with consistent supply chain and breadth of product portfolio also coming into play.</w:t>
      </w:r>
    </w:p>
    <w:p>
      <w:pPr>
        <w:spacing w:after="0" w:line="174"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Spain is a rapidly growing, highly fragmented generic market with many participants. As a result of recent legislative changes, all regions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Spain will move to INN prescribing and substitution, thus making the pharmacists the key driver of generic usage. Within the last two years, the Andalusia region, representing 20% of the total market, has evolved into a tendering commercial model. However, it is currently anticipated that this move could be gradually reversed due to Central Government opposition. Companies compete in Spain based on being first to market, offering a wide portfolio, building strong relationships with customers and providing a consistent supply of quality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Netherlands. </w:t>
      </w:r>
      <w:r>
        <w:rPr>
          <w:rFonts w:ascii="Times New Roman" w:cs="Times New Roman" w:eastAsia="Times New Roman" w:hAnsi="Times New Roman"/>
          <w:sz w:val="18"/>
          <w:szCs w:val="18"/>
          <w:color w:val="auto"/>
        </w:rPr>
        <w:t>The Netherlands market has become highly competitive as a result of a large number of generic players, one of the highest generic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penetration rates in Europe and the continued use of a tender system. Under a tender system, health insurers are entitled to issue invitations to tender products. Pricing pressures resulting from an effort to win the tender should drive near-term competition. Mylan is able to play a significant role in tenders but also has strong non-tendered sales which provides further opportunities for growth.</w:t>
      </w:r>
    </w:p>
    <w:p>
      <w:pPr>
        <w:spacing w:after="0" w:line="180" w:lineRule="exact"/>
        <w:rPr>
          <w:sz w:val="20"/>
          <w:szCs w:val="20"/>
          <w:color w:val="auto"/>
        </w:rPr>
      </w:pPr>
    </w:p>
    <w:p>
      <w:pPr>
        <w:ind w:right="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Germany. </w:t>
      </w:r>
      <w:r>
        <w:rPr>
          <w:rFonts w:ascii="Times New Roman" w:cs="Times New Roman" w:eastAsia="Times New Roman" w:hAnsi="Times New Roman"/>
          <w:sz w:val="17"/>
          <w:szCs w:val="17"/>
          <w:color w:val="auto"/>
        </w:rPr>
        <w:t>The German market has become highly competitive as a result of a large number of generic players, one of the highest generic penetration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rates in Europe, and the continued use of a tender system. Pricing pressures resulting from an effort to win the tender should drive near-term competition.</w:t>
      </w:r>
    </w:p>
    <w:p>
      <w:pPr>
        <w:spacing w:after="0" w:line="135"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Poland. </w:t>
      </w:r>
      <w:r>
        <w:rPr>
          <w:rFonts w:ascii="Times New Roman" w:cs="Times New Roman" w:eastAsia="Times New Roman" w:hAnsi="Times New Roman"/>
          <w:sz w:val="18"/>
          <w:szCs w:val="18"/>
          <w:color w:val="auto"/>
        </w:rPr>
        <w:t>Poland is a mature and well-established generics market characterized by a high level of generic penetration in comparison to other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pharmaceutical markets. Generic substitution is permitted, but not obligatory and pricing is indirectly controlled by the government. There are a large number of local and multi-national competitors within the market.</w:t>
      </w:r>
    </w:p>
    <w:p>
      <w:pPr>
        <w:spacing w:after="0" w:line="1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India. </w:t>
      </w:r>
      <w:r>
        <w:rPr>
          <w:rFonts w:ascii="Times New Roman" w:cs="Times New Roman" w:eastAsia="Times New Roman" w:hAnsi="Times New Roman"/>
          <w:sz w:val="18"/>
          <w:szCs w:val="18"/>
          <w:color w:val="auto"/>
        </w:rPr>
        <w:t>Intense competition by other API suppliers in the Indian pharmaceuticals market has, in recent years, led to increased pressure on prices.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that the exports of API and generic FDF products from India to developed markets will continue to increase. The success of Indian pharmaceutical companies is attributable to established development expertise in chemical synthesis and process engineering, development of FDF, availability of highly skilled labor and the low cost manufacturing base.</w:t>
      </w:r>
    </w:p>
    <w:p>
      <w:pPr>
        <w:spacing w:after="0" w:line="182"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Indian commercial market is a rapidly growing, highly fragmented generic market with a significant number of participants. Companies compete in India based on price, product portfolio and the ability to provide a consistent supply of quality products.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Australia. </w:t>
      </w:r>
      <w:r>
        <w:rPr>
          <w:rFonts w:ascii="Times New Roman" w:cs="Times New Roman" w:eastAsia="Times New Roman" w:hAnsi="Times New Roman"/>
          <w:sz w:val="18"/>
          <w:szCs w:val="18"/>
          <w:color w:val="auto"/>
        </w:rPr>
        <w:t>The Australian generic market is small by international standards, in terms of prescriptions, value and the number of active participants.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extensions that delayed patent expiration are somewhat responsible for under-penetration of generic products.</w:t>
      </w:r>
    </w:p>
    <w:p>
      <w:pPr>
        <w:spacing w:after="0" w:line="205" w:lineRule="exact"/>
        <w:rPr>
          <w:sz w:val="20"/>
          <w:szCs w:val="20"/>
          <w:color w:val="auto"/>
        </w:rPr>
      </w:pPr>
    </w:p>
    <w:p>
      <w:pPr>
        <w:ind w:right="44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Japan. </w:t>
      </w:r>
      <w:r>
        <w:rPr>
          <w:rFonts w:ascii="Times New Roman" w:cs="Times New Roman" w:eastAsia="Times New Roman" w:hAnsi="Times New Roman"/>
          <w:sz w:val="17"/>
          <w:szCs w:val="17"/>
          <w:color w:val="auto"/>
        </w:rPr>
        <w:t>Historically, government initiatives have kept all drug prices low, resulting in little incentive for generic usage. More recent pro-generic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actions by the government should lead to growth in the generics market, in which doctors, pharmacists and hospital purchasers will all play a key role.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580" w:right="259" w:bottom="1440" w:gutter="0" w:footer="0" w:header="0"/>
        </w:sectPr>
      </w:pPr>
    </w:p>
    <w:bookmarkStart w:id="23" w:name="page24"/>
    <w:bookmarkEnd w:id="23"/>
    <w:p>
      <w:pPr>
        <w:ind w:right="8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Brazil. </w:t>
      </w:r>
      <w:r>
        <w:rPr>
          <w:rFonts w:ascii="Times New Roman" w:cs="Times New Roman" w:eastAsia="Times New Roman" w:hAnsi="Times New Roman"/>
          <w:sz w:val="17"/>
          <w:szCs w:val="17"/>
          <w:color w:val="auto"/>
        </w:rPr>
        <w:t>The Brazilian pharmaceutical market is the largest in South America. Since the entry in force of generic drug laws in Brazil, the generic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of the pharmaceutical market has grown rapidly. The industry is highly competitive with a broad presence of multinational and national competitors.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Global product liability litigation represents an inherent risk to firms in the pharmaceutical industry. We utilize a combination of self-insurance (including through our wholly owned captive insurance subsidiary) and traditional third-party insurance policies with regard to our product liability claims. Such insurance coverage at any given time reflects market conditions, including cost and availability, existing at the time the policy is written and the decision to obtain commercial insurance coverage or to self-insure varies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Mylan utilizes a global approach to managing relationships with its suppliers. The APIs and other materials and supplies used in our pharmaceutical manufacturing operations are generally available and purchased from many different U.S. and non-U.S. suppliers, including Mylan India. However, in some cases, the raw materials used to manufacture pharmaceutical products are available only from a single supplier. Even when more than one supplier exists, we may choose, and in some cases have chosen, only to list one supplier in our applications submitted to the FDA. Any change in a supplier not previously approved must then be submitted through a formal approval process with the FDA.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Certain parts of our business are affected by seasonality, primarily the Specialty segment and Rest of World within our Generics segment. The seasonal impact of these particular businesses may affect a quarterly comparison within any fiscal year; however, this impact is generally not material to our annual consolidated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2014, Mylan’s global workforce included more than 25,000 employees and external contractors. With the completion of the Transaction, Mylan N.V. has increased its workforce to approximately 30,000 employees and external contractors. Certain production and maintenance employees at our manufacturing facility in Morgantown, West Virginia, are represented by the United Steel, Paper and Forestry, Rubber, Manufacturing, Energy, Allied Industrial and Service Workers International Union and its Local Union 8-957 AFL-CIO under a contract that expires on April 21, 2017. In addition, there are non-U.S. Mylan locations that have employees who are unionized or part of works councils or trade unions.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Exchange Act Reports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Unless otherwise indicated, the following discussion relates to Mylan Inc. prior to the consummation of the Transaction which occurred on February 27, 2015. New Mylan maintains an Internet website at the following address: mylan.com. New Mylan, which is the successor registrant to Mylan as discussed in the Explanatory Note, makes available on or through its Internet website certain reports and amendments to those reports that both Mylan and New Mylan file with the Securities and Exchange Commission (“SEC”) in accordance with the Securities Exchange Act of 1934. These include annual reports on Form 10-K, quarterly reports on Form 10-Q and current reports on Form 8-K. New Mylan makes this information available on its website free of charge, as soon as reasonably practicable after electronically filed with, or furnished to, the SEC. The contents of New Mylan’s website are not incorporated by reference in this Report on Form 10-K and shall not be deemed “filed” under the Securities Exchange Act of 1934.</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public may also read and copy any materials that we or New Mylan file with the SEC at the SEC’s Public Reference Room at 100 F Street NE, Washington, D.C. 20549. You may obtain information about the Public Reference Room by contacting the SEC at 1.800.SEC.0330. Reports filed with the SEC are also made available on the SEC website (www.sec.gov).</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8" w:right="239" w:bottom="1440" w:gutter="0" w:footer="0" w:header="0"/>
        </w:sectPr>
      </w:pPr>
    </w:p>
    <w:bookmarkStart w:id="24" w:name="page25"/>
    <w:bookmarkEnd w:id="2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operate in a complex and rapidly changing environment that involves risks, many of which are beyond our control. Any of the following risks, if they occur, could have a material adverse effect on our business, financial condition, results of operations, cash flows, and/or share price. These risks should be read in conjunction with the other information in this Annual Report on Form 10-K. As described in the Explanatory Note above, this Form 10-K is a Mylan Inc. filing. However, the risks described below also apply to New Mylan. Additional risks that may affect New Mylan are described in the Registration Statement on Form S-4 filed by New Mylan with the SEC on November 5, 2014, as amended on December 9 and December 23, 2014.</w:t>
      </w:r>
    </w:p>
    <w:p>
      <w:pPr>
        <w:spacing w:after="0" w:line="288"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CHANGING ECONOMIC CONDITIONS MAY ADVERSELY AFFECT OUR INDUSTRY, BUSINESS, PARTNERS AND SUPPLIERS, FINANCIAL CONDITION, RESULTS OF OPERATIONS, CASH FLOWS, AND/OR SHARE PRICE.</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global economy continues to experience significant volatility, and the economic environment may continue to be, or become, less favorable than that of past years. Among other matters, the continued risk of a debt default by one or more European countries, related financial restructuring efforts in Europe, and/or evolving deficit and spending reduction programs instituted by the U.S. and other governments could negatively impact the global economy and/or the pharmaceutical industry. This has led, and/or could lead, to reduced consumer and customer spending and/or reduced or eliminated governmental or third party payor coverage or reimbursement in the foreseeable future, and this may include spending on health care, including but not limited to pharmaceutical products. While generic drugs present an alternative to higher-priced branded products, our sales could be negatively impacted if patients forego obtaining health care, patients and customers reduce spending or purchases, and/or if governments and/or third-party payors reduce or eliminate coverage or reimbursement amounts for pharmaceuticals and/or impose price or other controls adversely impacting the price or availability of pharmaceuticals. In addition, reduced consumer and customer spending, and/or reduced government and/or third party payor coverage or reimbursement, and/or new government controls, may drive us and our competitors to decrease prices and/or may reduce the ability of customers to pay and/or may result in reduced demand for our products. The occurrence of any of these risks could have a material adverse effect on our industry, business, financial condition, results of operations, cash flows, and/or share price.</w:t>
      </w:r>
    </w:p>
    <w:p>
      <w:pPr>
        <w:spacing w:after="0" w:line="295" w:lineRule="exact"/>
        <w:rPr>
          <w:sz w:val="20"/>
          <w:szCs w:val="20"/>
          <w:color w:val="auto"/>
        </w:rPr>
      </w:pPr>
    </w:p>
    <w:p>
      <w:pPr>
        <w:ind w:right="1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ARE SUBJECT TO RISKS ARISING FROM THE INTERNATIONAL SCOPE OF OUR OPERATIONS.</w:t>
      </w:r>
    </w:p>
    <w:p>
      <w:pPr>
        <w:spacing w:after="0" w:line="15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operations extend to numerous countries outside the U.S. and are subject to the risks inherent in conducting business globally and under the laws, regulations, and customs of various jurisdictions. These risks include, but are not limited to:</w:t>
      </w:r>
    </w:p>
    <w:p>
      <w:pPr>
        <w:ind w:left="1300" w:right="260" w:hanging="320"/>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national and local laws of countries in which we do business, including but not limited to restrictions on the import and export of certain intermediates, drugs, and technologies;</w:t>
      </w:r>
    </w:p>
    <w:p>
      <w:pPr>
        <w:spacing w:after="0" w:line="125"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U.S. laws including, but not limited to, the Iran Threat Reduction and Syria Human Rights Act of 2012; and rules relating to the use of certain “conflict minerals” under Section 1502 of the Dodd-Frank Wall Street Reform and Consumer Protection Act;</w:t>
      </w:r>
    </w:p>
    <w:p>
      <w:pPr>
        <w:spacing w:after="0" w:line="122"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practices affecting the pharmaceutical industry and the health care system, including but not limited to imports, exports, manufacturing, quality, cost, pricing, reimbursement, approval, inspection, and delivery of health care;</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for transactions conducted in currencies other than the functional currency;</w:t>
      </w:r>
    </w:p>
    <w:p>
      <w:pPr>
        <w:spacing w:after="0" w:line="171"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spacing w:after="0" w:line="1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employment laws, wage increases, or rising inflation in the countries in which we or our partners and suppliers operate;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92" w:right="239" w:bottom="1440" w:gutter="0" w:footer="0" w:header="0"/>
        </w:sectPr>
      </w:pPr>
    </w:p>
    <w:bookmarkStart w:id="25" w:name="page26"/>
    <w:bookmarkEnd w:id="25"/>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and increases in energy and transportation costs;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droughts, floods, and earthquakes in the countries in which we operate;</w:t>
      </w:r>
    </w:p>
    <w:p>
      <w:pPr>
        <w:spacing w:after="0" w:line="171"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disturbances, terrorist attacks, riots, social disruption, or regional hostilities in the countries in which we or our partners and suppliers operate;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uncertainty, including as a result of new or changed laws and regulations.</w:t>
      </w:r>
    </w:p>
    <w:p>
      <w:pPr>
        <w:spacing w:after="0" w:line="3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Changes in a country’s political stability or the state of relations between any such countries are difficult to predict and could adversely affect our operations.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operations. The occurrence of any of the above risks could have a material adverse effect on our business, financial condition, results of operations, cash flows, and/or share price.</w:t>
      </w:r>
    </w:p>
    <w:p>
      <w:pPr>
        <w:spacing w:after="0" w:line="289"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SIGNIFICANT OPERATIONS IN INDIA MAY BE ADVERSELY AFFECTED BY REGULATORY, ECONOMIC, SOCIAL, AND POLITICAL UNCERTAINTIES OR CHANGE, MAJOR HOSTILITIES, MILITARY ACTIVITY, AND/OR ACTS OF TERRORISM IN SOUTHERN ASIA.</w:t>
      </w:r>
    </w:p>
    <w:p>
      <w:pPr>
        <w:spacing w:after="0" w:line="1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our Indian subsidiaries have benefited from many policies of the Government of India and the Indian state governments in which they operate, which are designed to promote foreign investment generally, including significant tax incentives, liberalized import and export duties, and preferential rules on foreign investment and repatriation. There is no assurance that such policies will continue. Various factors, such as changes in the current federal government, could trigger significant changes in India’s economic liberalization and deregulation policies and disrupt business and economic conditions in India generally and our business in particular.</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our financial performance may be adversely affected by general economic conditions; economic, fiscal and social policy in India, including changes in exchange rates and controls, interest rates and taxation policies; and social instability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 care and education. Our ability to recruit, train, and retain qualified employees and develop and operate our manufacturing facilities in India could be adversely affected if India does not successfully meet these challenges.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Southern Asia has, from time to time, experienced instances of civil unrest and hostilities among neighboring countries, including India and Pakistan, and within the countries themselves. Rioting, military activity, or terrorist attacks in the future could influence the Indian economy and our operations and employees by disrupting operations and communications and making travel and the conduct of our business more difficult. Resulting political or social tensions could create a greater perception that investments in companies with Indian operations involve a high degree of risk, and that there is a risk of disruption of services provided by companies with Indian operations, which could impact our customers’ willingness to do business with us and have a material adverse effect on the market for our products. Furthermore, if India were to become engaged in armed hostilities, including but not limited to hostilities that were protracted or involved the threat or use of nuclear or other weapons of mass destruction, our India operations, including our recently acquired Agila operations in India, might not be able to continue. We generally do not have insurance for losses and interruptions caused by terrorist attacks, military conflicts and wars. The occurrence of any of these risks could cause a material adverse effect on our business, financial condition, results of operations, cash flows, and/or share price.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NOT ACHIEVE THE INTENDED BENEFITS OR MAY DISRUPT NEW MYLAN’S PLANS AND OPERATIONS.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New Mylan will be able to successfully integrate the Business with the business of Mylan or otherwise realize the expected benefits of the Transaction. New Mylan’s ability to realize the anticipated benefits of the Transaction will depend, to a large extent, on its ability to integrate the Business with the business of Mylan and realize the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580" w:right="279" w:bottom="1440" w:gutter="0" w:footer="0" w:header="0"/>
        </w:sectPr>
      </w:pPr>
    </w:p>
    <w:bookmarkStart w:id="26" w:name="page27"/>
    <w:bookmarkEnd w:id="26"/>
    <w:p>
      <w:pPr>
        <w:ind w:right="40"/>
        <w:spacing w:after="0" w:line="281" w:lineRule="auto"/>
        <w:rPr>
          <w:sz w:val="20"/>
          <w:szCs w:val="20"/>
          <w:color w:val="auto"/>
        </w:rPr>
      </w:pPr>
      <w:r>
        <w:rPr>
          <w:rFonts w:ascii="Times New Roman" w:cs="Times New Roman" w:eastAsia="Times New Roman" w:hAnsi="Times New Roman"/>
          <w:sz w:val="17"/>
          <w:szCs w:val="17"/>
          <w:color w:val="auto"/>
        </w:rPr>
        <w:t>benefits of the combined business. The combination of two independent businesses is a complex, costly, and time-consuming process. New Mylan’s business may be negatively impacted following the Transaction if it is unable to effectively manage its expanded operations. The integration will require significant time and focus from management following the Transaction and may divert attention from the day-to-day operations of the combined business. Additionally, consummation of the Transaction could disrupt current plans and operations, which could delay the achievement of New Mylan’s strategic objectives.</w:t>
      </w:r>
    </w:p>
    <w:p>
      <w:pPr>
        <w:spacing w:after="0" w:line="165"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expected synergies and operating efficiencies of the Transaction may not be fully realized, which could result in increased costs and have a material adverse effect on New Mylan’s business, financial condition, results of operations, cash flows, and/or share price. In addition, the overall integration of the businesses may result in material unanticipated problems, expenses, liabilities, competitive responses, loss of customer relationships, and diversion of management’s attention, among other potential adverse consequences. The difficulties of combining the operations of the businesses include, among others:</w:t>
      </w:r>
    </w:p>
    <w:p>
      <w:pPr>
        <w:spacing w:after="0" w:line="165" w:lineRule="exact"/>
        <w:rPr>
          <w:sz w:val="20"/>
          <w:szCs w:val="20"/>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171" w:lineRule="exact"/>
        <w:rPr>
          <w:rFonts w:ascii="Times New Roman" w:cs="Times New Roman" w:eastAsia="Times New Roman" w:hAnsi="Times New Roman"/>
          <w:sz w:val="18"/>
          <w:szCs w:val="18"/>
          <w:color w:val="auto"/>
        </w:rPr>
      </w:pPr>
    </w:p>
    <w:p>
      <w:pPr>
        <w:ind w:left="1080" w:right="580" w:hanging="316"/>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synergies, operating efficiencies, business opportunities, and growth prospects from combining the Business with the pre-Transaction business of Mylan;</w:t>
      </w:r>
    </w:p>
    <w:p>
      <w:pPr>
        <w:spacing w:after="0" w:line="107"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and systems, including enterprise resource planning systems;</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employees;</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significantly larger and more complex company;</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keeping existing customers and obtaining new customers;</w:t>
      </w:r>
    </w:p>
    <w:p>
      <w:pPr>
        <w:spacing w:after="0" w:line="17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 and</w:t>
      </w:r>
    </w:p>
    <w:p>
      <w:pPr>
        <w:spacing w:after="0" w:line="171" w:lineRule="exact"/>
        <w:rPr>
          <w:rFonts w:ascii="Times New Roman" w:cs="Times New Roman" w:eastAsia="Times New Roman" w:hAnsi="Times New Roman"/>
          <w:sz w:val="18"/>
          <w:szCs w:val="18"/>
          <w:color w:val="auto"/>
        </w:rPr>
      </w:pPr>
    </w:p>
    <w:p>
      <w:pPr>
        <w:ind w:left="1080" w:right="760" w:hanging="316"/>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the ongoing relationship with Abbott, which will include agreements providing for transition services, manufacturing relationships, and license arrangements.</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Many of these factors will be outside of New Mylan’s control and any one of them could result in increased costs, decreases in the amount of expected revenues, and diversion of management’s time and energy, which could have a material adverse effect on New Mylan’s business, financial condition, results of operations, cash flows, and/or share price. In addition, even if the operations of Mylan and the Business are integrated successfully, New Mylan may not realize the full benefits of the Transaction, including the synergies, operating efficiencies, or sales or growth opportunities that are expected. These benefits may not be achieved within the anticipated time frame or at all. All of these factors could cause dilution to New Mylan’s earnings per share, decrease or delay the expected accretive effect of the Transaction, and/or negatively impact the price of New Mylan’s ordinary shares.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REALIZE THE ANTICIPATED BENEFITS OF THE AGILA ACQUISITION.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acquisition of Agila is subject to integration risks and costs and uncertainties associated with the operation of acquired businesses. The Agila acquisition involves the integration of Agila with our existing businesses. We have been, and will continue to be, required to devote significant management attention and resources to integrating Agila. We may also experience difficulties in combining corporate cultures. Delays or unexpected difficulties in the integration process could adversely affect our business, financial condition, results of operations, cash flows, and/or share price. Even if we are able to integrate Agila's operations successfully into our business, this integration may not result in the realization of the full benefits of synergies, cost savings and operational efficiencies that we expect to realize and these benefits may not be achieved within a reasonable period of time.</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September 9, 2013, prior to our completion of the Agila acquisition, the FDA issued a warning letter to Strides Arcolab for its Agila Sterile Manufacturing Facility 2 in Bangalore, India. This facility is one of Agila's eight FDA-approved sterile manufacturing facilities. We continue to work closely with the FDA to fully address its observations with respect to this facility and are working to resolve this matter expeditiously. No assurances can be provided that the resolution of the issues identified in the FDA's letter will not have a material adverse effect on our global injectables business. Failing to realize the anticipated benefits of the Agila acquisition and/or failing to resolve the issues identified in the FDA’s letter could have a material adverse effect on our business, financial condition, results of operations, cash flows, and/or share price.</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IDENTIFY OR SUCCESSFULLY BID FOR SUITABLE ACQUISITION TARGETS, OR CONSUMMATE AND EFFECTIVELY INTEGRATE RECENT AND FUTURE POTENTIAL ACQUISITIONS, COULD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580" w:right="279" w:bottom="1440" w:gutter="0" w:footer="0" w:header="0"/>
        </w:sectPr>
      </w:pPr>
    </w:p>
    <w:bookmarkStart w:id="27" w:name="page28"/>
    <w:bookmarkEnd w:id="27"/>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 OUR FUTURE GROWTH AND HAVE A MATERIAL ADVERSE EFFECT ON OUR BUSINESS, FINANCIAL CONDITION, RESULTS OF OPERATIONS, CASH FLOWS, AND/OR SHARE PRICE.</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intend to continue to seek to expand our product line and/or business platform organically as well as through complementary or strategic acquisitions of other companies, products, or assets or through joint ventures, licensing agreements, or other arrangements. Acquisitions or similar arrangements may prove to be complex and time consuming and require substantial resources and effort. We may compete for certain acquisition targets with companies having greater financial resources than us or other advantages over us that may hinder or prevent us from acquiring a target or completing another transaction, which could also result in significant diversion of management time, as well as substantial out-of-pocket costs.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an acquisition is consummated, the integration of such acquired business, product, or other assets into us may also be complex, time consuming, and result in substantial costs and risks. The integration process may distract management and/or disrupt our ongoing businesses, which may adversely affect our relationships with customers, employees, partners, suppliers, regulators, and others with whom we have business or other dealings. In addition, there are operational risks associated with the integration of acquired businesses. These risks include, but are not limited to, difficulties in achieving or inability to achieve identified or anticipated financial and operating synergies, cost savings, revenue synergies, and growth opportunities; difficulties in consolidating or inability to effectively consolidate information technology and manufacturing platforms, business applications, and corporate infrastructure; the impact of pre-existing legal and/or regulatory issues, such as quality and manufacturing concerns, among others; the risks that acquired companies do not operate to the same quality, manufacturing, or other standards as us; the impacts of substantial indebtedness and assumed liabilities; challenges associated with operating in new markets; and the unanticipated effects of export controls, exchange rate fluctuations, domestic and foreign political conditions, and/or domestic and foreign economic conditions.</w:t>
      </w:r>
    </w:p>
    <w:p>
      <w:pPr>
        <w:spacing w:after="0" w:line="186"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We may be unable to realize synergies or other benefits, including tax savings, expected to result from acquisitions, joint ventures, or other transactions or investments we may undertake, or we may be unable to generate additional revenue to offset any unanticipated inability to realize these expected synergies or benefits. Realization of the anticipated benefits of acquisitions or other transactions could take longer than expected, and implementation difficulties, unforeseen expenses, complications and delays, market factors, or deterioration in domestic and global economic conditions could reduce the anticipated benefits of any such transactions. We also may inherit legal, regulatory, and other risks that occurred prior to the acquisition, whether known or unknown to us.</w:t>
      </w:r>
    </w:p>
    <w:p>
      <w:pPr>
        <w:spacing w:after="0" w:line="188"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Any one of these challenges or risks could impair our growth and ability to compete, require us to focus additional resources on integration of operations rather than other profitable areas, require us to reexamine our business strategy, or otherwise cause a material adverse effect on our business, financial condition, results of operations, cash flows, and/or share price.</w:t>
      </w:r>
    </w:p>
    <w:p>
      <w:pPr>
        <w:spacing w:after="0" w:line="2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COULD HAVE A MATERIAL ADVERSE EFFECT ON OUR BUSINESS, FINANCIAL CONDITION, RESULTS OF OPERATIONS, CASH FLOWS AND/OR SHARE PRICE.</w:t>
      </w:r>
    </w:p>
    <w:p>
      <w:pPr>
        <w:spacing w:after="0" w:line="15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(“U.S. GAAP”)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88" w:lineRule="exact"/>
        <w:rPr>
          <w:sz w:val="20"/>
          <w:szCs w:val="20"/>
          <w:color w:val="auto"/>
        </w:rPr>
      </w:pPr>
    </w:p>
    <w:p>
      <w:pPr>
        <w:ind w:left="1300" w:right="6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redeployment or relocation expenses;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 including acquired in-process research and development (“IPR&amp;D”);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acquired;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useful lives of intangible assets acquired;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900" w:right="299" w:bottom="1440" w:gutter="0" w:footer="0" w:header="0"/>
        </w:sectPr>
      </w:pPr>
    </w:p>
    <w:bookmarkStart w:id="28" w:name="page29"/>
    <w:bookmarkEnd w:id="28"/>
    <w:p>
      <w:pPr>
        <w:ind w:left="1300" w:right="80" w:hanging="320"/>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or changes to assumed contingent liabilities, including, but not limited to, contingent purchase price consideration,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122"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to eliminate certain duplicative pre-acquisition activities, to restructure our operations or to reduce our cost structure;</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resulting from expenses incurred to effect the acquisition;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contingent consideration liabilities, including accretion and fair value adjustments.</w:t>
      </w:r>
    </w:p>
    <w:p>
      <w:pPr>
        <w:spacing w:after="0" w:line="3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these adjustments could be accounted for as expenses that will decrease our net income and earnings per share for the periods in which those costs are incurred. Such charges could cause a material adverse effect on our business, financial condition, results of operations, cash flows, and/or share price.</w:t>
      </w:r>
    </w:p>
    <w:p>
      <w:pPr>
        <w:spacing w:after="0" w:line="200" w:lineRule="exact"/>
        <w:rPr>
          <w:sz w:val="20"/>
          <w:szCs w:val="20"/>
          <w:color w:val="auto"/>
        </w:rPr>
      </w:pPr>
    </w:p>
    <w:p>
      <w:pPr>
        <w:spacing w:after="0" w:line="29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GROWN AT A VERY RAPID PACE. OUR INABILITY TO EFFECTIVELY MANAGE OR SUPPORT THIS GROWTH MAY HAVE A MATERIAL ADVERSE EFFECT ON OUR BUSINESS, FINANCIAL CONDITION, RESULTS OF OPERATIONS, CASH FLOWS, AND/OR SHARE PRICE.</w:t>
      </w:r>
    </w:p>
    <w:p>
      <w:pPr>
        <w:spacing w:after="0" w:line="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have grown very rapidly over the past several years as a result of several acquisitions and increasing sales, and additional growth through acquisitions is possible in the future. This growth has put significant demands on our processes, systems, and people. We have made and expect to make further investments in additional personnel, systems, and internal control processes to help manage our growth. Attracting, retaining and motivating key employees in various departments and locations to support our growth are critical to our business, and competition for these people can be significant. If we are unable to hire and/or retain qualified employees and/or if we do not effectively invest in systems and processes to manage and support our rapid growth and the challenges and difficulties associated with managing a larger, more complex business, and/or if we cannot effectively manage and integrate our increasingly diverse and global platform, there could be a material adverse effect on our business, financial condition, results of operations, cash flows, and/or share price.</w:t>
      </w:r>
    </w:p>
    <w:p>
      <w:pPr>
        <w:spacing w:after="0" w:line="28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MYLAN EXPECTS TO BE TREATED AS A NON-U.S. CORPORATION FOR U.S. FEDERAL INCOME TAX PURPOSES. ANY CHANGES TO THE TAX LAWS OR CHANGES IN OTHER LAWS, REGULATIONS, RULES, OR INTERPRETATIONS THEREOF APPLICABLE TO INVERTED COMPANIES AND THEIR AFFILIATES, WHETHER ENACTED BEFORE OR AFTER THE TRANSACTION, MAY MATERIALLY ADVERSELY AFFECT NEW MYLAN.</w:t>
      </w:r>
    </w:p>
    <w:p>
      <w:pPr>
        <w:spacing w:after="0" w:line="73"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Under current U.S. law, we believe that we should not be treated as a U.S. corporation for U.S. federal income tax purposes as a result of the Transaction. Changes to Section 7874 of the Internal Revenue Code of 1986, as amended (the “Code”) or the U.S. Treasury Regulations promulgated thereunder, or interpretations thereof, could affect our status as a non-U.S. corporation for U.S. federal income tax purposes. Any such changes could have prospective or retroactive application, and may apply even if enacted or promulgated now that the Transaction has closed. If we were to be treated as a U.S. corporation for U.S. federal income tax purposes, we would likely be subject to significantly greater U.S. tax liability than currently contemplated as a non-U.S. corporation.</w:t>
      </w:r>
    </w:p>
    <w:p>
      <w:pPr>
        <w:spacing w:after="0" w:line="18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 August 5, 2014, the U.S. Treasury Department announced that it is reviewing a broad range of authorities for possible administrative actions that could limit the ability of a U.S. corporation to complete a transaction in which it becomes a subsidiary of a non-U.S. corporation (commonly known as an “inversion transaction”) or reduce certain tax benefits after an inversion transaction takes place. On September 22, 2014, the U.S. Treasury Department issued a notice announcing its intention to promulgate certain regulations that will apply to inversion transactions completed on or after September 22, 2014.</w:t>
      </w:r>
    </w:p>
    <w:p>
      <w:pPr>
        <w:spacing w:after="0" w:line="28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the notice, the U.S. Treasury Department also announced that it expects to issue additional guidance to further limit certain inversion transactions. In particular, it is considering regulations that may limit income tax treaty eligibility and the ability of certain foreign-owned U.S. corporations to deduct certain interest payments (so-called “earnings stripping”). Any such future guidance will apply prospectively, but to the extent it applies only to companies that have completed inversion transactions, it will specifically apply to companies that have completed such transactions on or after September 22, 2014. Additionally, there have been recent legislative proposals intended to limit or discourage inversion transactions. Any such future regulatory or legislative actions regarding inversion transactions, if taken, could apply to us, could disadvantage us as compared to other corporations, including non-U.S. corporations that have completed inversion transactions prior to</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80"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September 22, 2014, and could have a material adverse effect on our business, financial condition, results of operations, cash flows, and/or share price.</w:t>
      </w:r>
    </w:p>
    <w:p>
      <w:pPr>
        <w:spacing w:after="0" w:line="3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INTERCOMPANY TERMS OF CROSS BORDER ARRANGEMENTS THAT WE HAVE AMONG OUR SUBSIDIARIES ARE DETERMINED TO BE INAPPROPRIATE OR INEFFECTIVE, OUR TAX LIABILITY MAY INCREASE.</w:t>
      </w:r>
    </w:p>
    <w:p>
      <w:pPr>
        <w:spacing w:after="0" w:line="267"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 border arrangements between affiliates are based upon internationally accepted standards,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and/or share price.</w:t>
      </w:r>
    </w:p>
    <w:p>
      <w:pPr>
        <w:spacing w:after="0" w:line="29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283"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The final determination of any tax audits or related litigation could be materially different from our income tax provisions and accruals.</w:t>
      </w:r>
    </w:p>
    <w:p>
      <w:pPr>
        <w:spacing w:after="0" w:line="28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Additionally, changes in the effective tax rate as a result of a change in the mix of earnings in countries with differing statutory tax rates, changes in our overall profitability, changes in the valuation of deferred tax assets and liabilities, the results of audits and the examination of previously filed tax returns by taxing authorities, and continuing assessments of our tax exposures could impact our tax liabilities and affect our income tax expense, which could have a material adverse effect on our business, financial condition, results of operations, cash flows, and/or share price.</w:t>
      </w:r>
    </w:p>
    <w:p>
      <w:pPr>
        <w:spacing w:after="0" w:line="288"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Finally, potential changes to income tax laws in the U.S. include measures which would defer the deduction of interest expense related to deferred income; determine the foreign tax credit on a pooling basis; tax currently excess returns associated with transfers of intangibles offshore; and limit earnings stripping by expatriated entities. In addition, proposals have been made to encourage manufacturing in the U.S., including reduced rates of tax and increased deductions related to manufacturing. We cannot determine whether these proposals will be modified or enacted, whether other proposals unknown at this time will be made, or the extent to which the corporate tax rate might be reduced and lessen the adverse impact of some of these proposals. If enacted, and depending on its precise terms, such legislation could materially increase our overall effective income tax rate and income tax expense and could have a material adverse effect on our business, financial condition, results of operations, cash flows, and/or share price.</w:t>
      </w:r>
    </w:p>
    <w:p>
      <w:pPr>
        <w:spacing w:after="0" w:line="29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RELATIONSHIPS, INCLUDING CUSTOMER RELATIONSHIPS, MAY BE SUBJECT TO DISRUPTION DUE TO THE TRANSACTION.</w:t>
      </w:r>
    </w:p>
    <w:p>
      <w:pPr>
        <w:spacing w:after="0" w:line="2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Parties with which we currently do business or may do business in the future, including customers and suppliers, may experience uncertainty associated with the Transaction, including with respect to current or future business relationships with us. As a result, our business relationships may be subject to disruptions if customers, suppliers, and others attempt to negotiate changes in existing business relationships or consider entering into business relationships with parties other than us. For example, certain customers and collaborators have contractual consent rights or termination rights that may have been triggered by a change of control or assignment of the rights and obligations of contracts that were transferred in the Transaction. In addition, our contract manufacturing business could be impaired if existing or potential customers determine not to continue or initiate contract manufacturing relationships with us. These disruptions could have a material adverse effect on our business, financial condition, results of operations, cash flows, and/or share price.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04" w:right="239" w:bottom="1440" w:gutter="0" w:footer="0" w:header="0"/>
        </w:sectPr>
      </w:pPr>
    </w:p>
    <w:bookmarkStart w:id="30" w:name="page31"/>
    <w:bookmarkEnd w:id="30"/>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COUNTERPARTIES TO CERTAIN AGREEMENTS WITH US DID NOT CONSENT TO THE TRANSACTION, CHANGE-OF-CONTROL RIGHTS UNDER THOSE AGREEMENTS MAY HAVE BEEN TRIGGERED AS A RESULT OF THE TRANSACTION, WHICH COULD CAUSE US TO LOSE THE BENEFIT OF SUCH AGREEMENTS AND INCUR MATERIAL LIABILITIES OR REPLACEMENT COSTS.</w:t>
      </w:r>
    </w:p>
    <w:p>
      <w:pPr>
        <w:spacing w:after="0" w:line="283"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We are parties to agreements (including certain agreements with AbbVie Inc.) that contain change-of-control, anti-assignment, or certain other provisions that were triggered as a result of the Transaction. If the counterparties to these agreements did not consent to the Transaction, the counterparties may have the ability to exercise certain rights (including termination rights), resulting in us incurring liabilities as a consequence of breaching such agreements, or causing us to lose the benefit of such agreements or incur costs in seeking replacement agreements.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 A CERTAIN PERIOD AFTER CONSUMMATION OF THE TRANSACTION, WE MAY NOT BE PERMITTED TO ENTER INTO CERTAIN TRANSACTIONS THAT MIGHT OTHERWISE BE BENEFICIAL TO OUR SHAREHOLDERS.</w:t>
      </w:r>
    </w:p>
    <w:p>
      <w:pPr>
        <w:spacing w:after="0" w:line="26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For at least 90 days after closing of the Transaction, we may not, without the consent of Abbott, issue, or agree to issue, any securities or equity rights, other than issuances of our ordinary shares in connection with the exercise of outstanding equity rights. The foregoing prohibitions could have the effect of delaying other strategic transactions and may, in some cases, make it impossible to pursue other strategic transactions that are available only for a limited time.</w:t>
      </w:r>
    </w:p>
    <w:p>
      <w:pPr>
        <w:spacing w:after="0" w:line="284"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MYLAN SHAREHOLDERS PRIOR TO THE TRANSACTION NOW OWN A SMALLER SHARE OF NEW MYLAN FOLLOWING THE CONSUMMATION OF THE TRANSACTION.</w:t>
      </w:r>
    </w:p>
    <w:p>
      <w:pPr>
        <w:spacing w:after="0" w:line="26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Transaction, Mylan shareholders owned the same number of shares of New Mylan that they owned in Mylan immediately before closing (and no longer hold any shares in Mylan). Each New Mylan ordinary share, however, represented a smaller ownership percentage of a significantly larger company. As a result of the Transaction, Mylan shareholders owned approximately 78% of the outstanding voting securities of New Mylan and Abbott’s subsidiaries owned approximately 22% of the outstanding voting securities of New Mylan.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HEDGING ARRANGEMENTS INVOLVING NEW MYLAN ORDINARY SHARES AFTER THE TRANSACTION MAY NEGATIVELY AFFECT THE MARKET PRICE OF NEW MYLAN ORDINARY SHARES.</w:t>
      </w:r>
    </w:p>
    <w:p>
      <w:pPr>
        <w:spacing w:after="0" w:line="26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New Mylan ordinary shares issued to Abbott’s subsidiaries in the Transaction are generally eligible for immediate resale. Abbott and its subsidiaries are also permitted to enter into certain hedging arrangements with respect to those New Mylan ordinary shares. The market price of New Mylan ordinary shares could decline as a result of sales or hedging arrangements involving a large number of New Mylan ordinary shares after the consummation of the Transaction or the perception that these sales or hedging arrangements could occur. These sales or hedging arrangements, or the possibility that these sales or hedging arrangements may occur, also might make it more difficult for New Mylan to obtain additional capital by selling equity securities in the future at a time and at a price that New Mylan deems appropriate.</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HEAVILY REGULATED AND WE FACE SIGNIFICANT COSTS AND UNCERTAINTIES ASSOCIATED WITH OUR EFFORTS TO COMPLY WITH APPLICABLE REGULATIONS.</w:t>
      </w:r>
    </w:p>
    <w:p>
      <w:pPr>
        <w:spacing w:after="0" w:line="26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pharmaceutical industry is subject to regulation by various governmental authorities. For instance, we must comply with requirements of the FDA and requirements from regulatory agencies in our other markets with respect to the research, development, manufacture, quality, safety, labeling, sale, distribution, marketing, advertising, and promotion of pharmaceutical products. Failure to comply with regulations of the FDA and other regulators could result in a range of fines, penalties, disgorgement, unanticipated compliance expenditures, rejection or delay in approval of applications, recall or seizure of products, total or partial suspension of production and/or distribution, our inability to sell products, the return by customers of our products, suspension of the applicable regulator’s review of our submissions, enforcement actions, injunctions, and/or criminal prosecution. Under certain circumstances, the regulators may also have the authority to revoke previously granted drug approvals.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900" w:right="259" w:bottom="1440" w:gutter="0" w:footer="0" w:header="0"/>
        </w:sectPr>
      </w:pPr>
    </w:p>
    <w:bookmarkStart w:id="31" w:name="page32"/>
    <w:bookmarkEnd w:id="31"/>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In addition to the drug approval process, government agencies also regulate the facilities and operational procedures that we use to manufacture our products. We must register our facilities with the FDA and other similar regulators in other countries. Products manufactured in our facilities must be made in a manner consistent with current good manufacturing practices or similar standards in each territory in which we manufacture. Compliance with such regulations requires substantial expenditures of time, money, and effort in such areas as production and quality control to ensure compliance. The FDA and other agencies periodically inspect our manufacturing facilities for compliance. Regulatory approval to manufacture a drug is site-specific. Failure to comply with good manufacturing practices and other regulatory standards at one of our or our partners’ or suppliers’ manufacturing facilities could result in an adverse action brought by the FDA or other regulatory bodies, which could include fines, penalties, disgorgement, unanticipated compliance expenditures, rejection or delay in approval of applications, recall or seizure of products, total or partial suspension of production and/or distribution, our inability to sell products, the return by customers of our products, suspension of the applicable regulator’s review of our submissions, enforcement actions, injunctions, and/or criminal prosecution or other adverse actions.</w:t>
      </w:r>
    </w:p>
    <w:p>
      <w:pPr>
        <w:spacing w:after="0" w:line="2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 any regulatory body were to delay, withhold, or withdraw approval of an application, or require a recall or other adverse product action, or require one of our manufacturing facilities to cease or limit production, our business could be adversely affected. Delay and cost in obtaining FDA or other regulatory approval to manufacture at a different facility also could have a material adverse effect on our business, financial condition, results of operations, cash flows, and/or share price.</w:t>
      </w:r>
    </w:p>
    <w:p>
      <w:pPr>
        <w:spacing w:after="0" w:line="28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Although we have internal regulatory compliance programs and policies, there is no guarantee that these programs and policies, as currently designed, will meet regulatory agency standards in the future or will prevent instances of non-compliance with applicable laws and regulations. Additionally, despite our efforts at compliance, from time to time we receive notices of manufacturing and quality-related observations following inspections by regulatory authorities around the world, as well as official agency correspondence regarding compliance. We may receive similar observations and correspondence in the future. If we were deemed to be deficient in any significant way, or if any of the noted risks occur, our business, financial condition, results of operations, cash flows, and/or share price could be materially affected.</w:t>
      </w:r>
    </w:p>
    <w:p>
      <w:pPr>
        <w:spacing w:after="0" w:line="29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and local laws regulating working conditions, as well as environmental protection laws and regulations, including those governing the discharge of materials into the environment and those related to climate change. If changes to such environmental laws and regulations are made in the future that require significant changes in our operations, or if we engage in the development and manufacturing of new products requiring new or different environmental or other controls, or if we are found to have violated any applicable rules, we may be required to expend significant funds. Such changes, delays, and/or suspensions of activities or the occurrence of any of the above risks, could have a material adverse effect on our business, financial condition, results of operations, cash flows, and/or share price.</w:t>
      </w:r>
    </w:p>
    <w:p>
      <w:pPr>
        <w:spacing w:after="0" w:line="2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USE OF LEGAL, REGULATORY, AND LEGISLATIVE STRATEGIES BY BOTH BRAND AND GENERIC COMPETITORS, INCLUDING BUT NOT LIMITED TO “AUTHORIZED GENERICS” AND REGULATORY PETITIONS, AS WELL AS THE POTENTIAL IMPACT OF PROPOSED AND NEW LEGISLATION, MAY INCREASE COSTS ASSOCIATED WITH THE INTRODUCTION OR MARKETING OF OUR GENERIC PRODUCTS, COULD DELAY OR PREVENT SUCH INTRODUCTION, AND COULD SIGNIFICANTLY REDUCE OUR PROFIT.</w:t>
      </w:r>
    </w:p>
    <w:p>
      <w:pPr>
        <w:spacing w:after="0" w:line="289"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Our competitors, both branded and generic, often pursue strategies to prevent, delay, or eliminate competition from generic alternatives to branded products. These strategies include, but are not limited to:</w:t>
      </w:r>
    </w:p>
    <w:p>
      <w:pPr>
        <w:spacing w:after="0" w:line="162" w:lineRule="exact"/>
        <w:rPr>
          <w:sz w:val="20"/>
          <w:szCs w:val="20"/>
          <w:color w:val="auto"/>
        </w:rPr>
      </w:pPr>
    </w:p>
    <w:p>
      <w:pPr>
        <w:ind w:left="660" w:right="1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whereby other generic companies will begin to market an authorized generic, a generic equivalent of a branded product, at the same time or after generic competition initially enters the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 generic version of their own branded product prior to or at the same time or after generic competition initially enters the market;</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petitions with the FDA or other regulatory bodies seeking to prevent or delay approvals, including timing the filings so as to thwart generic competition by causing delays of our product approvals;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establish regulatory and legal obstacles that would make it more difficult to demonstrate bioequivalence or to meet other requirements for approval, and/or to prevent regulatory agency review of applications, such as through the establishment of patent linkage (laws barring the issuance of regulatory approvals prior to patent expiration);</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legislative or other efforts to limit the substitution of generic versions of brand pharmaceuticals;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904" w:right="259" w:bottom="1440" w:gutter="0" w:footer="0" w:header="0"/>
        </w:sectPr>
      </w:pPr>
    </w:p>
    <w:bookmarkStart w:id="32" w:name="page33"/>
    <w:bookmarkEnd w:id="32"/>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suits for patent infringement and other claims that may delay or prevent regulatory approval, manufacture, and/or scale of generic products;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introducing “next-generation” products prior to the expiration of market exclusivity for the reference product, which often materially reduces the demand for the generic or the reference product for which we seek regulatory approval;</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persuading regulatory bodies to withdraw the approval of brand name drugs for which the patents are about to expire and converting the market to another product of the brand company on which longer patent protection exists;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extensions of market exclusivity by conducting clinical trials of brand drugs in pediatric populations or by other methods;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obtain new patents on drugs for which patent protection is about to expire.</w:t>
      </w:r>
    </w:p>
    <w:p>
      <w:pPr>
        <w:spacing w:after="0" w:line="200" w:lineRule="exact"/>
        <w:rPr>
          <w:sz w:val="20"/>
          <w:szCs w:val="20"/>
          <w:color w:val="auto"/>
        </w:rPr>
      </w:pPr>
    </w:p>
    <w:p>
      <w:pPr>
        <w:spacing w:after="0" w:line="295"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 the U.S., some companies have lobbied Congress for amendments to the Hatch-Waxman Act that would give them additional advantages over generic competitors. For example, although the term of a company’s drug patent can be extended to reflect a portion of the time an NDA is under regulatory review, some companies have proposed extending the patent term by a full year for each year spent in clinical trials rather than the one-half year that is currently permitted.</w:t>
      </w:r>
    </w:p>
    <w:p>
      <w:pPr>
        <w:spacing w:after="0" w:line="200" w:lineRule="exact"/>
        <w:rPr>
          <w:sz w:val="20"/>
          <w:szCs w:val="20"/>
          <w:color w:val="auto"/>
        </w:rPr>
      </w:pPr>
    </w:p>
    <w:p>
      <w:pPr>
        <w:spacing w:after="0" w:line="30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proposals like these in the U.S., Europe,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and/or share price.</w:t>
      </w:r>
    </w:p>
    <w:p>
      <w:pPr>
        <w:spacing w:after="0" w:line="200" w:lineRule="exact"/>
        <w:rPr>
          <w:sz w:val="20"/>
          <w:szCs w:val="20"/>
          <w:color w:val="auto"/>
        </w:rPr>
      </w:pPr>
    </w:p>
    <w:p>
      <w:pPr>
        <w:spacing w:after="0" w:line="30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NEW PRODUCTS IN A TIMELY MANNER, OUR FUTURE REVENUE MAY BE ADVERSELY AFFECTED.</w:t>
      </w:r>
    </w:p>
    <w:p>
      <w:pPr>
        <w:spacing w:after="0" w:line="26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future revenues and profitability will depend, in part, upon our ability to successfully develop, license, or otherwise acquire and commercialize new generic and patent or statutorily protected pharmaceutical products in a timely manner. Product development is inherently risky, especially for new drugs for which safety and efficacy have not been established and the market is not yet proven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The development and commercialization process, particularly with regard to new and complex drugs, also requires substantial time, effort and financial resources. We, or a partner, may not be successful in commercializing any of such products on a timely basis, if at all, which could adversely affect our business, financial condition, results of operations, cash flows, and/or share price.</w:t>
      </w:r>
    </w:p>
    <w:p>
      <w:pPr>
        <w:spacing w:after="0" w:line="200" w:lineRule="exact"/>
        <w:rPr>
          <w:sz w:val="20"/>
          <w:szCs w:val="20"/>
          <w:color w:val="auto"/>
        </w:rPr>
      </w:pPr>
    </w:p>
    <w:p>
      <w:pPr>
        <w:spacing w:after="0" w:line="31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Before any prescription drug product, including generic drug products, can be marketed, marketing authorization approval is required by the relevant regulatory authorities and/or national regulatory agencies (for example the FDA in the U.S. and the EMA in the EU). The process of obtaining regulatory approval to manufacture and market new and generic pharmaceutical products is rigorous, time consuming, costly, and unpredictable. Outside the U.S., the approval process may be more or less rigorous, depending on the country, and the time required for approval may be longer or shorter than that required in the U.S. Bioequivalence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generic or branded products that we may develop, license or otherwise acquire. Moreover, if we obtain regulatory approval for a drug, it may be limited with respect to the indicated uses and delivery methods for which the drug may be marketed, which could in turn restrict our potential market for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200" w:lineRule="exact"/>
        <w:rPr>
          <w:sz w:val="20"/>
          <w:szCs w:val="20"/>
          <w:color w:val="auto"/>
        </w:rPr>
      </w:pPr>
    </w:p>
    <w:p>
      <w:pPr>
        <w:spacing w:after="0" w:line="31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80" w:right="259" w:bottom="1440" w:gutter="0" w:footer="0" w:header="0"/>
        </w:sectPr>
      </w:pPr>
    </w:p>
    <w:bookmarkStart w:id="33" w:name="page34"/>
    <w:bookmarkEnd w:id="33"/>
    <w:p>
      <w:pPr>
        <w:ind w:right="260"/>
        <w:spacing w:after="0" w:line="266" w:lineRule="auto"/>
        <w:rPr>
          <w:sz w:val="20"/>
          <w:szCs w:val="20"/>
          <w:color w:val="auto"/>
        </w:rPr>
      </w:pPr>
      <w:r>
        <w:rPr>
          <w:rFonts w:ascii="Times New Roman" w:cs="Times New Roman" w:eastAsia="Times New Roman" w:hAnsi="Times New Roman"/>
          <w:sz w:val="18"/>
          <w:szCs w:val="18"/>
          <w:color w:val="auto"/>
        </w:rPr>
        <w:t>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200" w:lineRule="exact"/>
        <w:rPr>
          <w:sz w:val="20"/>
          <w:szCs w:val="20"/>
          <w:color w:val="auto"/>
        </w:rPr>
      </w:pPr>
    </w:p>
    <w:p>
      <w:pPr>
        <w:spacing w:after="0" w:line="30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the U.S., the Hatch-Waxman Act provides for a period of 180 days of generic marketing exclusivity for each ANDA applicant that is first-to-file an ANDA containing a certification of invalidity, non-infringement or unenforceability related to a patent listed with respect to a reference drug product, commonly referred to as a Paragraph IV certification. During this exclusivity period, which under certain circumstances may be required to be shared with other applicable ANDA sponsors with timely Paragraph IV certifications, the FDA cannot grant final approval to other ANDA sponsors holding applications for the same generic equivalent. If an ANDA containing a Paragraph IV certification is successful and the applicant is awarded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Even if we obtain FDA approval for our generic drug products, if we are not the first ANDA applicant to challenge a listed patent for such a product, we may lose significant advantages to a competitor that filed its ANDA containing such a challenge. The same would be true in situations where we are required to share our exclusivity period with other ANDA sponsors with Paragraph IV certifications.</w:t>
      </w:r>
    </w:p>
    <w:p>
      <w:pPr>
        <w:spacing w:after="0" w:line="200" w:lineRule="exact"/>
        <w:rPr>
          <w:sz w:val="20"/>
          <w:szCs w:val="20"/>
          <w:color w:val="auto"/>
        </w:rPr>
      </w:pPr>
    </w:p>
    <w:p>
      <w:pPr>
        <w:spacing w:after="0" w:line="31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In Europe and other countries and regions, there is no exclusivity period for the first generic product. The EMA or national regulatory agencies may grant marketing authorizations to any number of generics.</w:t>
      </w:r>
    </w:p>
    <w:p>
      <w:pPr>
        <w:spacing w:after="0" w:line="200" w:lineRule="exact"/>
        <w:rPr>
          <w:sz w:val="20"/>
          <w:szCs w:val="20"/>
          <w:color w:val="auto"/>
        </w:rPr>
      </w:pPr>
    </w:p>
    <w:p>
      <w:pPr>
        <w:spacing w:after="0" w:line="286"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In addition, in other jurisdictions outside the U.S., we may face similar regulatory requirements and constraints. If we are unable to navigate our products through all of the regulatory requirements we face in a timely manner, or upon the occurrence of any of the other above risks, there could be an adverse effect on our product introduction plans, business, financial condition, results of operations, cash flows, and/or share price.</w:t>
      </w:r>
    </w:p>
    <w:p>
      <w:pPr>
        <w:spacing w:after="0" w:line="200" w:lineRule="exact"/>
        <w:rPr>
          <w:sz w:val="20"/>
          <w:szCs w:val="20"/>
          <w:color w:val="auto"/>
        </w:rPr>
      </w:pP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EXPEND A SIGNIFICANT AMOUNT OF RESOURCES ON RESEARCH AND DEVELOPMENT EFFORTS THAT MAY NOT LEAD TO SUCCESSFUL PRODUCT INTRODUCTIONS.</w:t>
      </w:r>
    </w:p>
    <w:p>
      <w:pPr>
        <w:spacing w:after="0" w:line="26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Much of our development effort is focused on technically difficult-to-formulate products and/or products that require advanced manufacturing technology, including our generic biologics program and respiratory platform. We conduct R&amp;D primarily to enable us to manufacture and market approved pharmaceuticals in accordance with applicable regulations. We also partner with third parties to develop products. Typically, research expenses related to the development of innovative or complex compounds and the filing of marketing authorization applications for innovative and complex compounds (such as NDAs and biosimilar applications in the U.S.) are significantly greater than those expenses associated with the development of and filing of marketing authorization applications for most generic products (such as ANDAs in the U.S. and abridged applications in Europe). As we and our partners continue to develop new and/or complex products, our research expenses will likely increase. Because of the inherent risk associated with R&amp;D efforts in our industry, including the high cost and uncertainty of conducting clinical trials (where required) particularly with respect to new and/or complex drugs, our, or a partner’s, research and development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total R&amp;D costs to develop a particular product in excess of what we anticipated. 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and/or share price.</w:t>
      </w:r>
    </w:p>
    <w:p>
      <w:pPr>
        <w:spacing w:after="0" w:line="200" w:lineRule="exact"/>
        <w:rPr>
          <w:sz w:val="20"/>
          <w:szCs w:val="20"/>
          <w:color w:val="auto"/>
        </w:rPr>
      </w:pPr>
    </w:p>
    <w:p>
      <w:pPr>
        <w:spacing w:after="0" w:line="3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OUR PRODUCTS RECEIVE REGULATORY APPROVAL, SUCH PRODUCTS MAY NOT ACHIEVE EXPECTED LEVELS OF MARKET ACCEPTANCE.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904" w:right="299" w:bottom="1440" w:gutter="0" w:footer="0" w:header="0"/>
        </w:sectPr>
      </w:pPr>
    </w:p>
    <w:bookmarkStart w:id="34" w:name="page35"/>
    <w:bookmarkEnd w:id="34"/>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Even if we are able to obtain regulatory approvals for our pharmaceutical products, generic or branded, the success of those products is dependent upon market acceptance. Levels of market acceptance for our products could be impacted by several factors, including but not limited to:</w:t>
      </w:r>
    </w:p>
    <w:p>
      <w:pPr>
        <w:spacing w:after="0" w:line="162"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products from our competitors;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that of our competitors;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market entry;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our products effectively to the different levels in the distribution chain;</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competitor actions;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acceptance of and/or reimbursement for our products by government and private formularies and/or third party payors.</w:t>
      </w:r>
    </w:p>
    <w:p>
      <w:pPr>
        <w:spacing w:after="0" w:line="200" w:lineRule="exact"/>
        <w:rPr>
          <w:sz w:val="20"/>
          <w:szCs w:val="20"/>
          <w:color w:val="auto"/>
        </w:rPr>
      </w:pPr>
    </w:p>
    <w:p>
      <w:pPr>
        <w:spacing w:after="0" w:line="29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studies have resulted, and may in the future result, in the discontinuance of product marketing or other risk management programs, such as the need for a patient registry, as well as delays in approvals. The occurrence of any of the above risks could adversely affect our profitability, business, financial condition, results of operations, cash flows, and/or share price.</w:t>
      </w:r>
    </w:p>
    <w:p>
      <w:pPr>
        <w:spacing w:after="0" w:line="200" w:lineRule="exact"/>
        <w:rPr>
          <w:sz w:val="20"/>
          <w:szCs w:val="20"/>
          <w:color w:val="auto"/>
        </w:rPr>
      </w:pPr>
    </w:p>
    <w:p>
      <w:pPr>
        <w:spacing w:after="0" w:line="304" w:lineRule="exact"/>
        <w:rPr>
          <w:sz w:val="20"/>
          <w:szCs w:val="20"/>
          <w:color w:val="auto"/>
        </w:rPr>
      </w:pPr>
    </w:p>
    <w:p>
      <w:pPr>
        <w:jc w:val="both"/>
        <w:ind w:right="9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DEVELOPMENT, MANUFACTURE AND SALE OF BIOSIMILAR PRODUCTS POSES UNIQUE RISKS, AND OUR FAILURE TO SUCCESSFULLY INTRODUCE BIOSIMILAR PRODUCTS COULD HAVE A NEGATIVE IMPACT ON OUR BUSINESS AND FUTURE OPERATING RESULTS.</w:t>
      </w:r>
    </w:p>
    <w:p>
      <w:pPr>
        <w:spacing w:after="0" w:line="283"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We and our partners and suppliers are actively working to develop and commercialize biosimilar products - that is, a biological product that is highly similar to an already approved biological product, notwithstanding minor differences in clinically inactive components, and for which there are no clinically meaningful differences between the biosimilar and the approved biological product in terms of safety, purity and potency. However, significant uncertainty remains concerning both the regulatory pathway in the U.S. and in other countries to obtain regulatory approval of biosimilar products, and the commercial pathway to successfully market and sell such products. In particular, although recently enacted legislation authorizes the FDA to create a regulatory pathway for the review and approval of such products, significant uncertainty remains concerning the establishment of this regulatory regime, as well as the commercial steps necessary to successfully market and sell such products. The costs of development and approval, along with the likelihood of success for our biosimilar candidates, however, will be dependent upon any final regulations issued by the FDA or other relevant regulatory authorities.</w:t>
      </w:r>
    </w:p>
    <w:p>
      <w:pPr>
        <w:spacing w:after="0" w:line="200" w:lineRule="exact"/>
        <w:rPr>
          <w:sz w:val="20"/>
          <w:szCs w:val="20"/>
          <w:color w:val="auto"/>
        </w:rPr>
      </w:pPr>
    </w:p>
    <w:p>
      <w:pPr>
        <w:spacing w:after="0" w:line="310" w:lineRule="exact"/>
        <w:rPr>
          <w:sz w:val="20"/>
          <w:szCs w:val="20"/>
          <w:color w:val="auto"/>
        </w:rPr>
      </w:pPr>
    </w:p>
    <w:p>
      <w:pPr>
        <w:ind w:right="140" w:firstLine="432"/>
        <w:spacing w:after="0" w:line="253" w:lineRule="auto"/>
        <w:rPr>
          <w:sz w:val="20"/>
          <w:szCs w:val="20"/>
          <w:color w:val="auto"/>
        </w:rPr>
      </w:pPr>
      <w:r>
        <w:rPr>
          <w:rFonts w:ascii="Times New Roman" w:cs="Times New Roman" w:eastAsia="Times New Roman" w:hAnsi="Times New Roman"/>
          <w:sz w:val="18"/>
          <w:szCs w:val="18"/>
          <w:color w:val="auto"/>
        </w:rPr>
        <w:t>Moreover, biosimilar products will likely be subject to extensive patent clearances and patent infringement litigation, which could delay or prevent the commercial launch of a product for many years. If we are unable to obtain FDA or other non-U.S. regulatory authority approval for our products, as needed, such products may not be commercially successful and may not generate profits in amounts that are sufficient to offset the amount invested to obtain such approvals. Market success of biosimilar products will depend on demonstrating to regulators, patients, physicians and payors (such as insurance companies) that such products are safe and efficacious compared to other existing products yet offer a more competitive price or other benefit over existing therapies. In addition, the development and manufacture of biosimilars pose unique risks related to the supply of the materials needed to manufacture biosimilars. Access to and the supply of necessary biological materials may be limited, and government regulations restrict access to and regulate the transport and use of such materials. Depending on the outcome of the foregoing risks, we may not be able to generate future sales of biosimilar products in certain jurisdictions and may not realize the anticipated benefits of our investments in the development, manufacture and sale of such products. If our development efforts do not result in the development and timely approval of biosimilar products or if such products, once developed and approved, are not commercially successful, or upon the occurrence of any of the above risks, our business, financial condition, results of operations, cash flows, and/or share price could be materially adversely affected.</w:t>
      </w:r>
    </w:p>
    <w:p>
      <w:pPr>
        <w:spacing w:after="0" w:line="200" w:lineRule="exact"/>
        <w:rPr>
          <w:sz w:val="20"/>
          <w:szCs w:val="20"/>
          <w:color w:val="auto"/>
        </w:rPr>
      </w:pPr>
    </w:p>
    <w:p>
      <w:pPr>
        <w:spacing w:after="0" w:line="31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MARKET PERCEPTIONS OF US, OUR BRANDS, AND THE SAFETY AND QUALITY OF OUR PRODUCTS, AND MAY BE ADVERSELY IMPACTED BY NEGATIVE PUBLICITY OR FINDINGS.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904" w:right="239" w:bottom="1440" w:gutter="0" w:footer="0" w:header="0"/>
        </w:sectPr>
      </w:pPr>
    </w:p>
    <w:bookmarkStart w:id="35" w:name="page36"/>
    <w:bookmarkEnd w:id="35"/>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Market perceptions of us are very important to our business, especially market perceptions of our company and brands and the safety and quality of our products. If we, our partners and suppliers, or our brands suffer from negative publicity, or if any of our products or similar products which other companies distribute are subject to market withdrawal or recall or are proven to be, or are claimed to be, ineffective or harmful to consumers, then this could have a material adverse effect on our business, financial condition, results of operations, cash flows, and/or share price. Also, because we are dependent on market perceptions, negative publicity associated with product quality, patient illness, or other adverse effects resulting from, or perceived to be resulting from, our products, or our partners’ and suppliers’ manufacturing facilities, could have a material adverse effect on our business, financial condition, results of operations, cash flows, and/or share price.</w:t>
      </w:r>
    </w:p>
    <w:p>
      <w:pPr>
        <w:spacing w:after="0" w:line="200" w:lineRule="exact"/>
        <w:rPr>
          <w:sz w:val="20"/>
          <w:szCs w:val="20"/>
          <w:color w:val="auto"/>
        </w:rPr>
      </w:pPr>
    </w:p>
    <w:p>
      <w:pPr>
        <w:spacing w:after="0" w:line="30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VERSIONS OF OUR PRODUCTS OR OF STOLEN PRODUCTS COULD HAVE A NEGATIVE IMPACT ON OUR REPUTATION AND OUR BUSINESS.</w:t>
      </w:r>
    </w:p>
    <w:p>
      <w:pPr>
        <w:spacing w:after="0" w:line="26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pharmaceutical drug supply has been increasingly challenged by the vulnerability of distribution channels to illegal counterfeiting and the presence of counterfeit products in a growing number of markets and over the Internet.</w:t>
      </w:r>
    </w:p>
    <w:p>
      <w:pPr>
        <w:spacing w:after="0" w:line="200" w:lineRule="exact"/>
        <w:rPr>
          <w:sz w:val="20"/>
          <w:szCs w:val="20"/>
          <w:color w:val="auto"/>
        </w:rPr>
      </w:pPr>
    </w:p>
    <w:p>
      <w:pPr>
        <w:spacing w:after="0" w:line="28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200" w:lineRule="exact"/>
        <w:rPr>
          <w:sz w:val="20"/>
          <w:szCs w:val="20"/>
          <w:color w:val="auto"/>
        </w:rPr>
      </w:pPr>
    </w:p>
    <w:p>
      <w:pPr>
        <w:spacing w:after="0" w:line="30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Reports of adverse reactions to counterfeit drugs or increased levels of counterfeiting could materially affect patient confidence in the authentic product. It is possible that adverse events caused by unsafe counterfeit products will mistakenly be attributed to the authentic product. In addition, thefts of inventory at warehouses, plants, or while in-transit, which are not properly stored and which are sold through unauthorized channels, could adversely impact patient safety, our reputation, and our business.</w:t>
      </w:r>
    </w:p>
    <w:p>
      <w:pPr>
        <w:spacing w:after="0" w:line="200" w:lineRule="exact"/>
        <w:rPr>
          <w:sz w:val="20"/>
          <w:szCs w:val="20"/>
          <w:color w:val="auto"/>
        </w:rPr>
      </w:pPr>
    </w:p>
    <w:p>
      <w:pPr>
        <w:spacing w:after="0" w:line="30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Public loss of confidence in the integrity of pharmaceutical products as a result of counterfeiting or theft could have a material adverse effect on our business, financial condition, results of operations, cash flows, and/or share price.</w:t>
      </w:r>
    </w:p>
    <w:p>
      <w:pPr>
        <w:spacing w:after="0" w:line="200" w:lineRule="exact"/>
        <w:rPr>
          <w:sz w:val="20"/>
          <w:szCs w:val="20"/>
          <w:color w:val="auto"/>
        </w:rPr>
      </w:pPr>
    </w:p>
    <w:p>
      <w:pPr>
        <w:spacing w:after="0" w:line="28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COMPETITORS, INCLUDING BRANDED PHARMACEUTICAL COMPANIES, AND/OR OTHER THIRD PARTIES, MAY ALLEGE THAT WE AND/OR OUR SUPPLIERS ARE INFRINGING UPON THEIR INTELLECTUAL PROPERTY, INCLUDING IN AN “AT RISK LAUNCH” SITUATION, IMPACTING OUR ABILITY TO LAUNCH A PRODUCT, AND/OR OUR ABILITY TO CONTINUE MARKETING A PRODUCT, AND/OR FORCING US TO EXPEND SUBSTANTIAL RESOURCES IN RESULTING LITIGATION, THE OUTCOME OF WHICH IS UNCERTAIN.</w:t>
      </w:r>
    </w:p>
    <w:p>
      <w:pPr>
        <w:spacing w:after="0" w:line="27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testing, marketing, and other aspects relating to active pharmaceutical ingredients and finished pharmaceutical products. These companies and other patent holders allege patent infringement or other violations of intellectual property rights as the basis for filing suit against an applicant for a generic product license as well as others who may be involved in some aspect of the research, production, distribution, or testing process. Litigation often involves significant expense and can delay or prevent introduction or sale of our generic products. If patents are held valid and infringed by our products in a particular jurisdiction, we and/or our supplier(s) or partner(s) would, unless we or the supplier(s) or partner(s) could obtain a license from the patent holder, need to cease manufacturing and other activities, including but not limited to selling in that jurisdiction, and may need to surrender or withdraw the product, or destroy existing stock in that jurisdiction.</w:t>
      </w:r>
    </w:p>
    <w:p>
      <w:pPr>
        <w:spacing w:after="0" w:line="200" w:lineRule="exact"/>
        <w:rPr>
          <w:sz w:val="20"/>
          <w:szCs w:val="20"/>
          <w:color w:val="auto"/>
        </w:rPr>
      </w:pPr>
    </w:p>
    <w:p>
      <w:pPr>
        <w:spacing w:after="0" w:line="313"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There also may be situations where we use our business judgment and decide to manufacture, market, and/or sell products, directly or through third parties, notwithstanding the fact that allegations of patent infringement(s) have not been finally resolved by the courts (i.e., an “at-risk launch”). The risk involved in doing so can be substantial because the remedies available to the owner of a patent for infringement may include, among other things, damages measured by the profits lost by the patent holder and not necessarily by the profits earned by the infringer. In the case of a finding by a court of willful infringement, the definition of which is subjective, such damages may be increased by an additional 200%. Moreover, because of the discount pricing typically involved with bioequivalent (generic) products, patented branded products generally realize a</w:t>
      </w:r>
    </w:p>
    <w:p>
      <w:pPr>
        <w:sectPr>
          <w:pgSz w:w="11900" w:h="16838" w:orient="portrait"/>
          <w:cols w:equalWidth="0" w:num="1">
            <w:col w:w="11400"/>
          </w:cols>
          <w:pgMar w:left="240" w:top="904"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904" w:right="259" w:bottom="1440" w:gutter="0" w:footer="0" w:header="0"/>
          <w:type w:val="continuous"/>
        </w:sectPr>
      </w:pPr>
    </w:p>
    <w:bookmarkStart w:id="36" w:name="page37"/>
    <w:bookmarkEnd w:id="36"/>
    <w:p>
      <w:pPr>
        <w:ind w:right="200"/>
        <w:spacing w:after="0" w:line="261" w:lineRule="auto"/>
        <w:rPr>
          <w:sz w:val="20"/>
          <w:szCs w:val="20"/>
          <w:color w:val="auto"/>
        </w:rPr>
      </w:pPr>
      <w:r>
        <w:rPr>
          <w:rFonts w:ascii="Times New Roman" w:cs="Times New Roman" w:eastAsia="Times New Roman" w:hAnsi="Times New Roman"/>
          <w:sz w:val="18"/>
          <w:szCs w:val="18"/>
          <w:color w:val="auto"/>
        </w:rPr>
        <w:t>substantially higher profit margin than bioequivalent products. An adverse decision in a case such as this or in other similar litigation, or a judicial order preventing us or our suppliers and partners from manufacturing, marketing, selling, and/or other activities necessary to the manufacture and distribution of our products, could have a material adverse effect on our business, financial condition, results of operations, cash flows, and/or share price. For information regarding legal proceedings, refer to Note 14, “Contingencies,” in the accompanying Notes to Consolidated Financial Statements in this Annual Report.</w:t>
      </w:r>
    </w:p>
    <w:p>
      <w:pPr>
        <w:spacing w:after="0" w:line="200" w:lineRule="exact"/>
        <w:rPr>
          <w:sz w:val="20"/>
          <w:szCs w:val="20"/>
          <w:color w:val="auto"/>
        </w:rPr>
      </w:pPr>
    </w:p>
    <w:p>
      <w:pPr>
        <w:spacing w:after="0" w:line="30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OR SUPPLIER FAIL TO OBTAIN OR ADEQUATELY PROTECT OR ENFORCE OUR INTELLECTUAL PROPERTY RIGHTS, THEN WE COULD LOSE REVENUE UNDER OUR LICENSING AGREEMENTS OR LOSE SALES TO GENERIC COPIES OF OUR BRANDED PRODUCTS.</w:t>
      </w:r>
    </w:p>
    <w:p>
      <w:pPr>
        <w:spacing w:after="0" w:line="283"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Our success, particularly in our specialty business, depends in part on our or any partner’s or supplier’s ability to obtain, maintain and enforce patents, and protect trade secrets, know-how, and other proprietary information. Our ability to commercialize any branded product successfully will largely depend upon our or any partner’s or supplier’s ability to obtain and maintain patents of sufficient scope to lawfully prevent third-parties from developing infringing products. In the absence of patent and trade secret protection, competitors may adversely affect our branded products business by independently developing and marketing substantially equivalent products. It is also possible that we could incur substantial costs if we are required to initiate litigation against others to protect or enforce our intellectual property rights.</w:t>
      </w:r>
    </w:p>
    <w:p>
      <w:pPr>
        <w:spacing w:after="0" w:line="200" w:lineRule="exact"/>
        <w:rPr>
          <w:sz w:val="20"/>
          <w:szCs w:val="20"/>
          <w:color w:val="auto"/>
        </w:rPr>
      </w:pPr>
    </w:p>
    <w:p>
      <w:pPr>
        <w:spacing w:after="0" w:line="31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covering the composition of, methods of making, and/or methods of using, our branded products and branded product candidates. We may not be issued patents based on patent applications already filed or that we file in the future. Further, due to other factors that affect patentability, and if patents are issued, they may be insufficient in scope to cover or otherwise protect our branded products.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opposition or interference proceedings involving, or consider other challenges to, our patents or patent applications.</w:t>
      </w:r>
    </w:p>
    <w:p>
      <w:pPr>
        <w:spacing w:after="0" w:line="200" w:lineRule="exact"/>
        <w:rPr>
          <w:sz w:val="20"/>
          <w:szCs w:val="20"/>
          <w:color w:val="auto"/>
        </w:rPr>
      </w:pPr>
    </w:p>
    <w:p>
      <w:pPr>
        <w:spacing w:after="0" w:line="31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Any challenge to, or invalidation or circumvention of, our patents or patent applications would be costly, would require significant time and attention of our management, and could cause a material adverse effect on our business, financial condition, results of operations, cash flows, and/or share price.</w:t>
      </w:r>
    </w:p>
    <w:p>
      <w:pPr>
        <w:spacing w:after="0" w:line="200" w:lineRule="exact"/>
        <w:rPr>
          <w:sz w:val="20"/>
          <w:szCs w:val="20"/>
          <w:color w:val="auto"/>
        </w:rPr>
      </w:pPr>
    </w:p>
    <w:p>
      <w:pPr>
        <w:spacing w:after="0" w:line="282"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OUR GENERICS AND SPECIALTY BUSINESSES DEVELOP, FORMULATE, MANUFACTURE, OR IN-LICENSE AND MARKET PRODUCTS THAT ARE SUBJECT TO ECONOMIC RISKS RELATING TO INTELLECTUAL PROPERTY RIGHTS, COMPETITION, AND MARKET UNPREDICTABILITY.</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may be subject to the following risks, among others:</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patent life, or the loss of patent protection;</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generic or other branded products;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reimbursement rates by government and other third-party payors;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importation by consumers;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research and development risks;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with regard to establishing a market.</w:t>
      </w:r>
    </w:p>
    <w:p>
      <w:pPr>
        <w:spacing w:after="0" w:line="200" w:lineRule="exact"/>
        <w:rPr>
          <w:sz w:val="20"/>
          <w:szCs w:val="20"/>
          <w:color w:val="auto"/>
        </w:rPr>
      </w:pPr>
    </w:p>
    <w:p>
      <w:pPr>
        <w:spacing w:after="0" w:line="29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In addition, developing and commercializing branded products is generally more costly than generic products. If such business expenditures do not ultimately result in the launch of commercially successful brand products, or if any of the risks above were to occur, there could be a material adverse effect on our business, financial condition, results of operations, cash flows, and/or share price.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904" w:right="239" w:bottom="1440" w:gutter="0" w:footer="0" w:header="0"/>
          <w:type w:val="continuous"/>
        </w:sectPr>
      </w:pPr>
    </w:p>
    <w:bookmarkStart w:id="37" w:name="page38"/>
    <w:bookmarkEnd w:id="3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VIGOROUS COMPETITION FROM OTHER PHARMACEUTICAL MANUFACTURERS THAT THREATENS THE COMMERCIAL ACCEPTANCE AND PRICING OF OUR PRODUCTS.</w:t>
      </w:r>
    </w:p>
    <w:p>
      <w:pPr>
        <w:spacing w:after="0" w:line="267"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pharmaceutical industry is highly competitive. We face competition from many U.S. and non-U.S. manufacturers, some of whom are significantly larger than we are. Our competitors may be able to develop products and processes competitive with or superior to our own for many reasons, including but not limited to the possibility that they may have:</w:t>
      </w:r>
    </w:p>
    <w:p>
      <w:pPr>
        <w:spacing w:after="0" w:line="176"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processes or delivery systems;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or more productive research and development and marketing staffs;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or more efficient production capabilities in a particular therapeutic area;</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preclinical testing and human clinical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products; or</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developing new drugs and greater financial resources, particularly with regard to manufacturers of branded products.</w:t>
      </w:r>
    </w:p>
    <w:p>
      <w:pPr>
        <w:spacing w:after="0" w:line="37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occurrence of any of the above risks could have an adverse effect on our business, financial condition, results of operations, cash flows, and/or share price.</w:t>
      </w:r>
    </w:p>
    <w:p>
      <w:pPr>
        <w:spacing w:after="0" w:line="200" w:lineRule="exact"/>
        <w:rPr>
          <w:sz w:val="20"/>
          <w:szCs w:val="20"/>
          <w:color w:val="auto"/>
        </w:rPr>
      </w:pPr>
    </w:p>
    <w:p>
      <w:pPr>
        <w:spacing w:after="0" w:line="2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RELATIVELY SMALL GROUP OF PRODUCTS MAY REPRESENT A SIGNIFICANT PORTION OF OUR REVENUES, GROSS PROFIT, OR NET EARNINGS FROM TIME TO TIME.</w:t>
      </w:r>
    </w:p>
    <w:p>
      <w:pPr>
        <w:spacing w:after="0" w:line="26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Sales of a limited number of our products from time to time represent a significant portion of our revenues, gross profit, and net earnings. For the years ended December 31, 2014 and 2013, our top ten products in terms of sales, in the aggregate, represented approximately 33% and 31%, respectively, of our consolidated total revenues. If the volume or pricing of our largest selling products declines in the future, our business, financial condition, results of operations, cash flows, and/or share price could be materially adversely affected.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THE PERFORMANCE OF OUR COLLABORATION PARTNERS AND SUPPLIERS.</w:t>
      </w:r>
    </w:p>
    <w:p>
      <w:pPr>
        <w:spacing w:after="0" w:line="33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strategic alliances with partners and suppliers to develop, manufacture, market and/or distribute certain products, and/or certain components of our products, in various markets. We commit substantial effort, funds and other resources to these various collaborations. There is a risk that the investments made by us in these collaborative arrangements will not generate financial returns. While we believe our relationships with our partners and suppliers generally are successful, disputes or conflicting priorities and regulatory or legal intervention could be a source of delay or uncertainty as to the expected benefits of the collaboration. A failure or inability of our partners or suppliers to fulfill their collaboration obligations, or the occurrence of any of the risks above, could have an adverse effect on our business, financial condition, results of operations, cash flows, and/or share price.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IS DERIVED FROM SALES TO A LIMITED NUMBER OF CUSTOMERS.</w:t>
      </w:r>
    </w:p>
    <w:p>
      <w:pPr>
        <w:spacing w:after="0" w:line="33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derived from sales to a limited number of customers. If we were to experience a significant reduction in or loss of business with one or more such customers, or if one or more such customers were to experience difficulty in paying us on a timely basis, our business, financial condition, results of operations, cash flows, and/or share price could be materially adversely affected.</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sales to Cardinal Health, Inc. were approximately 12%, 15% and 14%, respectively; sales to McKesson Corporation were approximately 19%, 14% and 13%, respectively; sales to AmeriSourceBergen Corporation were approximately 13%, 10% and 7%, respectively of consolidated net sales.</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20"/>
          </w:cols>
          <w:pgMar w:left="240" w:top="900" w:right="339" w:bottom="1440" w:gutter="0" w:footer="0" w:header="0"/>
        </w:sectPr>
      </w:pPr>
    </w:p>
    <w:bookmarkStart w:id="38" w:name="page39"/>
    <w:bookmarkEnd w:id="38"/>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DECLINES IN THE SALES VOLUME AND PRICES OF OUR PRODUCTS AS THE RESULT OF THE CONTINUING TREND TOWARD CONSOLIDATION OF CERTAIN CUSTOMER GROUPS, SUCH AS THE WHOLESALE DRUG DISTRIBUTION AND RETAIL PHARMACY INDUSTRIES, AS WELL AS THE EMERGENCE OF LARGE BUYING GROUPS.</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may result in these groups gaining additional purchasing leverage and, consequently, increasing the product pricing pressures facing our business. Additionally, the emergence of large buying groups representing independent retail pharmacies and the prevalence and influence of managed care organizations and similar institutions potentially enable those groups to attempt to extract price discounts on our products. The occurrence of any of the above risks could adversely affect our business, financial condition, results of operations, cash flows, and/or share price.</w:t>
      </w:r>
    </w:p>
    <w:p>
      <w:pPr>
        <w:spacing w:after="0" w:line="2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TO A LARGE EXTENT ON THIRD-PARTY SUPPLIERS AND DISTRIBUTORS FOR RAW MATERIALS, PARTICULARLY THE CHEMICAL COMPOUND(S) THAT CONSTITUTE THE ACTIVE PHARMACEUTICAL INGREDIENTS THAT WE USE TO MANUFACTURE OUR PRODUCTS, AS WELL AS CERTAIN FINISHED GOODS, INCLUDING CERTAIN CONTROLLED SUBSTANCES. THESE THIRD-PARTY SUPPLIERS AND DISTRIBUTORS MAY EXPERIENCE DELAYS IN OR INABILITY TO SUPPLY US WITH RAW MATERIALS NECESSARY TO THE DEVELOPMENT AND/OR MANUFACTURE OF OUR PRODUCTS.</w:t>
      </w:r>
    </w:p>
    <w:p>
      <w:pPr>
        <w:spacing w:after="0" w:line="1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purchase certain API (i.e., the chemical compounds that produce the desired therapeutic effect in our products) and other materials and supplies that we use in our manufacturing operations, as well as certain finished products, from many different foreign and domestic suppliers.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certain cases, we have listed only one supplier in our applications with regulatory agencies, and there is no guarantee that we will always have timely and sufficient access to a critical raw material or finished product supplied by third parties, even when we have more than one supplier. An interruption in the supply of a single-sourced or any other raw material, including the relevant API, or in the supply of finished product, could cause our business, financial condition, results of operations, cash flows, and/or share price to be materially adversely affected. In addition, our manufacturing and supply capabilities could be adversely impacted by quality deficiencies in the products which our suppliers provide, which could have a material adverse effect on our business, financial condition, results of operations, cash flows, and/or share price.</w:t>
      </w:r>
    </w:p>
    <w:p>
      <w:pPr>
        <w:spacing w:after="0" w:line="188"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utilize controlled substances in certain of our current products and products in development, and therefore must meet the requirements of the Controlled Substances Act of 1970 and the related regulations administered by the DEA in the U.S., as well as similar laws in other countries where we operate. These laws relate to the manufacture, shipment, storage, sale, and use of controlled substances. The DEA and other regulatory agencies limit the availability of the active ingredients used in certain of our current products and products in development and, as a result, our procurement quota of these active ingredients may not be sufficient to meet commercial demand or complete clinical trials. We must annually apply to the DEA and other regulatory agencies for procurement quota in order to obtain these substances. Any delay or refusal by the DEA or such regulatory agencies in establishing our procurement quota for controlled substances could delay or stop our clinical trials or product launches, or could cause trade inventory disruptions for those products that have already been launched, which could have a material adverse effect on our business, financial condition, results of operations, cash flows, and/or share price.</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SUPPLY OF API INTO EUROPE MAY BE NEGATIVELY AFFECTED BY RECENT REGULATIONS PROMULGATED BY THE EUROPEAN UNION.</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July 2, 2013, all API imported into the EU has needed to be certified as complying with the good manufacturing practice (“GMP”) standards established by the EU, as stipulated by the International Conference for Harmonization. These new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an API may cause delays in delivery or shortages of an API necessary to manufacture our products, as certain governments may not be willing or able to comply with the regulation in a timely fashion, or at all. A shortage in API may prevent us from manufacturing, or cause us to have to cease manufacture of, certain products, or to incur costs and delays to qualify other suppliers to substitute for those API manufacturers unable to export. The occurrence of any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900"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above risks could have a material adverse effect on our business, financial condition, results of operations, cash flows, and/or share price.</w:t>
      </w:r>
    </w:p>
    <w:p>
      <w:pPr>
        <w:spacing w:after="0" w:line="329"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MANUFACTURING FACILITIES AND CERTAIN THIRD PARTY SUPPLIERS PRODUCING A SUBSTANTIAL PORTION OF OUR PRODUCTS.</w:t>
      </w:r>
    </w:p>
    <w:p>
      <w:pPr>
        <w:spacing w:after="0" w:line="15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our capacity, as well as our current production, is attributable to a limited number of manufacturing facilities and certain third party suppliers. A significant disruption at any one of such facilities within our internal or third party supply chain, even on a short-term basis, whether due to a labor strike, failure to reach acceptable agreement with labor and unions, adverse quality or compliance observation, infringement of intellectual property rights, act of God,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business, financial condition, results of operations, cash flows, and/or share price.</w:t>
      </w:r>
    </w:p>
    <w:p>
      <w:pPr>
        <w:spacing w:after="0" w:line="2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REPORTING AND PAYMENT OBLIGATIONS RELATED TO OUR PARTICIPATION IN FEDERAL HEALTH CARE PROGRAMS, INCLUDING MEDICARE AND MEDICAID,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1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Federal laws regarding reporting and payment obligations with respect to a pharmaceutical company’s participation in federal health care programs, including Medicare and Medicaid,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PPACA of 2010 includes a provision requiring the CMS to publish a weighted average Average Manufacturer Price (“AMP”) for all multi-source drugs. The provision was effective October 1, 2010; however, weighted average AMP’s have not yet been published by CMS, except in draft form, and have not been implemented for use in the calculation of Federal Upper Limits. Although the weighted average AMP would not reveal Mylan’s individual AMP, publishing a weighted average AMP available to customers and the public at large could negatively affect our leverage in commercial price negotiations.</w:t>
      </w:r>
    </w:p>
    <w:p>
      <w:pPr>
        <w:spacing w:after="0" w:line="184"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as also disclosed herein, a number of state and federal government agencies are conducting investigations of manufacturers’ reporting practices with respect to Average Wholesale Prices (“AWP”). The government has alleged that reporting of inflated AWP has led to excessive payments for prescription drugs. We and numerous other pharmaceutical companies have been named as defendants in various actions relating to pharmaceutical pricing issues and whether allegedly improper actions by pharmaceutical manufacturers led to excessive payments by Medicare and/or Medicaid.</w:t>
      </w:r>
    </w:p>
    <w:p>
      <w:pPr>
        <w:spacing w:after="0" w:line="180"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Any governmental agencies or authorities that have commenced, or may commence, an investigation of Mylan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 care programs, including Medicare and Medicaid. Some of the applicable laws may impose liability even in the absence of specific intent to defraud. Furthermore, should there be ambiguity with regard to how to properly calculate and report payments - and even in the absence of any such ambiguity - a governmental authority may take a position contrary to a position we have taken, and may impose civil and/or criminal sanctions. Any failure to comply with the above laws and regulations, and any such penalties or sanctions could have a material adverse effect on our business, financial condition, results of operations, cash flows, and/or share price.</w:t>
      </w:r>
    </w:p>
    <w:p>
      <w:pPr>
        <w:spacing w:after="0" w:line="2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REDUCTIONS IN THE LEVELS OF REIMBURSEMENT FOR PHARMACEUTICAL PRODUCTS BY GOVERNMENTAL AUTHORITIES, HMOS, OR OTHER THIRD-PARTY PAYORS. IN ADDITION, THE USE OF TENDER SYSTEMS AND OTHER FORMS OF PRICE CONTROL COULD REDUCE PRICES FOR OUR PRODUCTS OR REDUCE OUR MARKET OPPORTUNITIES.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Various governmental authorities (including, among others, the U.K. National Health Service and the German statutory health insurance scheme) and private health insurers and other organizations, such as HMOs in the U.S., provide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ind w:right="20"/>
        <w:spacing w:after="0" w:line="256" w:lineRule="auto"/>
        <w:rPr>
          <w:sz w:val="20"/>
          <w:szCs w:val="20"/>
          <w:color w:val="auto"/>
        </w:rPr>
      </w:pPr>
      <w:r>
        <w:rPr>
          <w:rFonts w:ascii="Times New Roman" w:cs="Times New Roman" w:eastAsia="Times New Roman" w:hAnsi="Times New Roman"/>
          <w:sz w:val="18"/>
          <w:szCs w:val="18"/>
          <w:color w:val="auto"/>
        </w:rPr>
        <w:t>reimbursements or subsidies to consumers for the cost of certain pharmaceutical products. Demand for our products depends in part on the extent to which such reimbursement is available. In the U.S., third-party payors increasingly challenge the pricing of pharmaceutical products. This trend and other trends toward the growth of HMOs, managed health care, and legislative health care reform create significant uncertainties regarding the future levels of reimbursement for pharmaceutical products. Further, any reimbursement may be reduced in the future to the point that market demand for our products and/or our profitability declines. Such a decline could have a material adverse effect on our business, financial condition, results of operations, cash flows, and/or share price.</w:t>
      </w:r>
    </w:p>
    <w:p>
      <w:pPr>
        <w:spacing w:after="0" w:line="1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 number of markets in which we operate have implemented or may implement tender systems or other forms of price controls for generic pharmaceuticals in an effort to lower prices.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other countries may consider the implementation of a tender system or other forms of price controls. Even if a tender system is ultimately not implemented, the anticipation of such could result in price reductions. Failing to win tenders, or the implementation of similar systems or other forms of price controls in other markets leading to further price declines, could have a material adverse effect on our business, financial condition, results of operations, cash flows, and/or share price.</w:t>
      </w:r>
    </w:p>
    <w:p>
      <w:pPr>
        <w:spacing w:after="0" w:line="2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PROGRAMS THAT MAY INFLUENCE PRICES OF PHARMACEUTICAL PRODUCTS COULD HAVE A MATERIAL ADVERSE EFFECT ON OUR BUSINESS.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Current or future federal, state or foreign laws and regulations may influence the prices of drugs and, therefore, could adversely affect the prices that we receive for our products. For example, programs in existence in certain states in the U.S. seek to broadly set prices, within those states, through the regulation and administration of the sale of prescription drugs. Expansion of these programs, in particular state Medicare and/or Medicaid programs, or changes required in the way in which Medicare and/or Medicaid rebates are calculated under such programs, could adversely affect the prices we receive for our products and could have a material adverse effect on our business, financial condition, results of operations, cash flows, and/or share price.</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order to control expenditure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Several countries in which we operate have implemented, or plan to or may implement, government mandated price reductions and/or other controls. When such price cuts occur, pharmaceutical companies have generally experienced significant declines in revenues and profitability and uncertainties continue to exist within the market after the price decrease. Such price reductions or controls could have an adverse effect on our business, and as uncertainties are resolved or if other countries in which we operate enact similar measures, they could have a material adverse effect on our business, financial condition, results of operations, cash flows, and/or share price.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LEGISLATION COULD HAVE A MATERIAL ADVERSE EFFECT ON OUR BUSINESS.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recent years, there have been numerous initiatives on the federal and state levels for comprehensive reforms affecting the payment for, the availability of and reimbursement for, health care services in the U.S., and it is likely that federal and state legislatures and health agencies will continue to focus on health care reform in the future. The PPACA and The Health Care and Education and Reconciliation Act of 2010 (H.R. 4872), which amends the PPACA (collectively, the “Health Reform Laws”), were signed into law in March 2010. While the Health Reform Laws may increase the number of patients who have insurance coverage for our products, they also include provisions such as the assessment of a pharmaceutical manufacturer fee and an increase in the amount of rebates that manufacturers pay for coverage of their drugs by Medicaid programs.</w:t>
      </w:r>
    </w:p>
    <w:p>
      <w:pPr>
        <w:spacing w:after="0" w:line="188"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 care legislation. The Health Reform Laws and further changes in the law or regulatory framework that reduce our revenues or increase our costs could have a material adverse effect on our business, financial condition, results of operations and/or cash flow, and could cause the market value of our common stock to decline.</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Additionally, we encounter similar regulatory and legislative issues in most other countries. In the EU and some other international markets, the government provides health care at low cost to consumers and regulates pharmaceutical prices,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8"/>
          <w:szCs w:val="18"/>
          <w:color w:val="auto"/>
        </w:rPr>
        <w:t>patient eligibility and/or reimbursement levels to control costs for the government-sponsored health care system. These systems of price regulations may lead to inconsistent and lower prices. Within the EU and in other countries,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 border trade.</w:t>
      </w:r>
    </w:p>
    <w:p>
      <w:pPr>
        <w:spacing w:after="0" w:line="1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significant additional reforms are made to the U.S. health care system, or to the health care systems of other markets in which we operate, those reforms could have a material adverse effect on our business, financial condition, results of operations, cash flows, and/or share price.</w:t>
      </w:r>
    </w:p>
    <w:p>
      <w:pPr>
        <w:spacing w:after="0" w:line="266"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VARIOUS LEGAL PROCEEDINGS AND CERTAIN GOVERNMENT INQUIRIES AND MAY EXPERIENCE UNFAVORABLE OUTCOMES OF SUCH PROCEEDINGS OR INQUIRIES.</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or may be involved in various legal proceedings and certain government inquiries or investigations, including, but not limited to, patent infringement, product liability, antitrust matters, breach of contract, and claims involving Medicare and/or Medicaid reimbursements, or laws relating to sales and marketing practices, some of which are described in our periodic reports, that involve claims for, or the possibility of, fines and penalties involving substantial amounts of money or other relief, including but not limited to civil or criminal fines and penalties and exclusion from participation in various government health-care-related programs. With respect to government antitrust enforcement and private plaintiff litigation of so-called “pay for delay” patent settlements, large verdicts, settlements or government fines are possible, especially in the U.S. and E.U. If any of these legal proceedings or inquiries were to result in an adverse outcome, the impact could have a material adverse effect on our business, financial condition, results of operations, cash flows, and/or share price.</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With respect to product liability, we maintain a combination of self-insurance (including through our wholly owned captive insurance subsidiary) and commercial insurance to protect against and manage a portion of the risks involved in conducting our business. Although we carry insurance, we believe that no reasonable amount of insurance can fully protect against all such risks because of the potential liability inherent in the business of producing pharmaceuticals for human consumption. Emerging developments in the U.S. legal landscape relative to the liability of generic pharmaceutical manufacturers for certain product liabilities claims could increase our exposure litigation costs and damages. To the extent that a loss occurs, depending on the nature of the loss and the level of insurance coverage maintained, it could have a material adverse effect on our business, financial condition, results of operations, cash flows, and/or share price.</w:t>
      </w:r>
    </w:p>
    <w:p>
      <w:pPr>
        <w:spacing w:after="0" w:line="1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addition, in limited circumstances, entities that we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and/or share price.</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SIMILAR WORLDWIDE ANTI-CORRUPTION LAWS, WHICH IMPOSE RESTRICTIONS ON CERTAIN CONDUCT AND MAY CARRY SUBSTANTIAL FINES AND PENALTIES.</w:t>
      </w:r>
    </w:p>
    <w:p>
      <w:pPr>
        <w:spacing w:after="0" w:line="15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We operate in jurisdictions that have experienced corruption, bribery, pay-offs and other similar practices from time-to-time and, in certain circumstances, such practices may be local custom. We have implemented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and other consequences that could have a material adverse effect on our business, financial condition, results of operations, cash flows, and/or share price.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APPLICABLE ENVIRONMENTAL AND OCCUPATIONAL HEALTH AND SAFETY LAWS AND REGULATIONS WORLDWIDE COULD ADVERSELY IMPACT OUR BUSINESS, FINANCIAL CONDITION, RESULTS OF OPERATIONS, CASH FLOWS, AND/OR SHARE PRICE.</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concerning, among other things, the environment, climate change, regulation of chemicals, employee safety and product safety. These requirements include regulation of the handling, manufacture, transportation, storage, use and disposal of materials, including the discharge of hazardous materials and pollutants into the environment.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and regulations and (ii) regulatory enforcement actions or claims for personal injury and property damage against us. If an unapproved or illegal environmental discharge occurs, or if we discover contamination caused by prior operations, including by prior owners and operators of properties we acquire, we could be liable for cleanup obligations, damages and fines. The substantial unexpected costs we may incur could have a material and adverse effect on our business, financial condition, results of operations, cash flows, and/or share price. In addition, our environmental capital expenditures and costs for environmental compliance may increase substantially in the future as a result of changes in environmental laws and regulations, the development and manufacturing of a new product or increased development or manufacturing activities at any of our facilities. We may be required to expend significant funds and our manufacturing activities could be delayed or suspended, which could have a material adverse effect on our business, financial condition, results of operations, cash flows, and/or share price.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NUMBER OF CLEAN ENERGY INVESTMENTS WHICH ARE SUBJECT TO VARIOUS RISKS AND UNCERTAINTIES.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invested in clean energy operations capable of producing refined coal that we believe qualify for tax credits under Section 45 of the Code. Our ability to claim tax credits under Section 45 of the Code depends upon the operations in which we have invested satisfying certain ongoing conditions set forth in Section 45 of the Code. These include, among others, the emissions reduction, “qualifying technology”, and “placed-in-service” requirements of Section 45 of the Code, as well as the requirement that at least one of the operations’ owners qualifies as a “producer” of refined coal. While we have received some degree of confirmation from the IRS relating to our ability to claim these tax credits, the IRS could ultimately determine that the operations have not satisfied, or have not continued to satisfy, the conditions set forth in Section 45 of the Code. Additionally, Congress could modify or repeal Section 45 of the Code and remove the tax credits retroactively.</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Section 45 of the Code contains phase out provisions based upon the market price of coal, such that, if the price of coal rises to specified levels, we could lose some or all of the tax credits we expect to receive from these investments.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Finally, when the price of natural gas or oil declines relative to that of coal, some utilities may choose to burn natural gas or oil instead of coal. Market demand for coal may also decline as a result of an economic slowdown and a corresponding decline in the use of electricity. If utilities burn less coal, eliminate coal in the production of electricity or are otherwise unable to operate for an extended period of time, the availability of the tax credits would also be reduced. The occurrence of any of the above risks could adversely affect our business, financial condition, results of operations, cash flows, and/or share price.</w:t>
      </w:r>
    </w:p>
    <w:p>
      <w:pPr>
        <w:spacing w:after="0" w:line="28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SIGNIFICANT AND INCREASING AMOUNT OF INTANGIBLE ASSETS AND GOODWILL RECORDED ON OUR BALANCE SHEET, MAINLY RELATED TO ACQUISITIONS, MAY LEAD TO SIGNIFICANT IMPAIRMENT CHARGES IN THE FUTURE WHICH COULD LEAD US TO HAVE TO TAKE SIGNIFICANT CHARGES AGAINST EARNINGS.</w:t>
      </w:r>
    </w:p>
    <w:p>
      <w:pPr>
        <w:spacing w:after="0" w:line="1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regularly review our long-lived assets, including identifiable intangible assets and goodwill, for impairment. Goodwill and indefinite-lived intangible assets are subject to impairment assessment at least annually. Other long-lived assets are reviewed when there is an indication that an impairment may have occurred. The amount of goodwill and identifiable intangible assets on our consolidated balance sheet has increased significantly as a result of our acquisitions, and may increase further following future potential acquisitions. In addition, we may from time to time sell assets that we determine are not critical to our strategy or execution. Future events or decisions may lead to asset impairments and/or related charges. Certain non-cash impairments may result from a change in our strategic goals, business direction or other factors relating to the overall business environment. Any impairment of the value of goodwill or other intangible assets will result in a charge against earnings, which could have a material adverse effect on our business, financial condition, results of operations, shareholder’s equity, and/or share price.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901"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DECIDE TO SELL ASSETS, WHICH COULD ADVERSELY AFFECT OUR PROSPECTS AND OPPORTUNITIES FOR GROWTH.</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consider selling certain assets if (i) we determine that such assets are not critical to our strategy or (ii) we believe the opportunity to monetize the asset is attractive or for various other reasons, including for the reduction of indebtedness. We have explored and will continue to explore the sale of certain non-core assets. Although our expectation is to engage in asset sales only if they advance or otherwise support our overall strategy, any such sale could reduce the size or scope of our business, our market share in particular markets or our opportunities with respect to certain markets, products or therapeutic categories. As a result, any such sale could have an adverse effect on our business, prospects and opportunities for growth, financial condition, results of operations, cash flows, and/or share price.</w:t>
      </w:r>
    </w:p>
    <w:p>
      <w:pPr>
        <w:spacing w:after="0" w:line="2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NEW MYLAN HAVE SIGNIFICANT INDEBTEDNESS WHICH COULD ADVERSELY AFFECT OUR FINANCIAL POSITION AND PREVENT US FROM FULFILLING OUR OBLIGATIONS UNDER SUCH INDEBTEDNESS. ANY REFINANCING OF THIS DEBT COULD BE AT SIGNIFICANTLY HIGHER INTEREST RATES. OUR AND NEW MYLAN’S SUBSTANTIAL INDEBTEDNESS COULD LEAD TO ADVERSE CONSEQUENCES.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and New Mylan’s level of indebtedness could have important consequences, including but not limited to:</w:t>
      </w:r>
    </w:p>
    <w:p>
      <w:pPr>
        <w:spacing w:after="0" w:line="225"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1300" w:right="200" w:hanging="320"/>
        <w:spacing w:after="0" w:line="313"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 from operations to make debt service payments, thereby reducing the availability of cash flow to fund working capital, capital expenditures, acquisitions and investments and other general corporate purposes;</w:t>
      </w:r>
    </w:p>
    <w:p>
      <w:pPr>
        <w:spacing w:after="0" w:line="84" w:lineRule="exact"/>
        <w:rPr>
          <w:rFonts w:ascii="Times New Roman" w:cs="Times New Roman" w:eastAsia="Times New Roman" w:hAnsi="Times New Roman"/>
          <w:sz w:val="17"/>
          <w:szCs w:val="17"/>
          <w:color w:val="auto"/>
        </w:rPr>
      </w:pPr>
    </w:p>
    <w:p>
      <w:pPr>
        <w:ind w:left="1300" w:right="10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challenges and opportunities, and changes in our businesses and the markets in which we operate;</w:t>
      </w:r>
    </w:p>
    <w:p>
      <w:pPr>
        <w:spacing w:after="0" w:line="107" w:lineRule="exact"/>
        <w:rPr>
          <w:rFonts w:ascii="Times New Roman" w:cs="Times New Roman" w:eastAsia="Times New Roman" w:hAnsi="Times New Roman"/>
          <w:sz w:val="18"/>
          <w:szCs w:val="18"/>
          <w:color w:val="auto"/>
        </w:rPr>
      </w:pPr>
    </w:p>
    <w:p>
      <w:pPr>
        <w:ind w:left="1300" w:right="88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our working capital, capital expenditures, acquisitions and debt service requirements and other financing needs;</w:t>
      </w:r>
    </w:p>
    <w:p>
      <w:pPr>
        <w:spacing w:after="0" w:line="107"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increases in interest rates in general because a substantial portion of our indebtedness bears interest at floating rates;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our competitors that have less debt.</w:t>
      </w:r>
    </w:p>
    <w:p>
      <w:pPr>
        <w:spacing w:after="0" w:line="3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and New Mylan’s ability to service our indebtedness will depend on our future operating performance and financial results, which will be subject, in part, to factors beyond our control, including interest rates and general economic, financial and business conditions. If we and New Mylan do not have sufficient cash flow to service our indebtedness, we and New Mylan may need to refinance all or part of our existing indebtedness, borrow more money or sell securities or assets, some or all of which may not be available to us at acceptable terms or at all. In addition, we and New Mylan may need to incur additional indebtedness in the future in the ordinary course of business. Although the terms of our senior credit agreement and our bond indentures allow us to incur additional debt, this is subject to certain limitations which may preclude us from incurring the amount of indebtedness we otherwise desire.</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if we and New Mylan incur additional debt, the risks described above could intensify. If global credit markets return to their recent levels of contraction, future debt financing may not be available to us when required or may not be available on acceptable terms,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and/or share price.</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credit facilities, senior unsecured notes, accounts receivable securitization facility,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Revolving Credit Agreement, Term Credit Agreement and accounts receivable securitization facility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901" w:right="239" w:bottom="1440" w:gutter="0" w:footer="0" w:header="0"/>
        </w:sectPr>
      </w:pPr>
    </w:p>
    <w:bookmarkStart w:id="44" w:name="page45"/>
    <w:bookmarkEnd w:id="44"/>
    <w:p>
      <w:pPr>
        <w:ind w:right="340"/>
        <w:spacing w:after="0" w:line="282" w:lineRule="auto"/>
        <w:rPr>
          <w:sz w:val="20"/>
          <w:szCs w:val="20"/>
          <w:color w:val="auto"/>
        </w:rPr>
      </w:pPr>
      <w:r>
        <w:rPr>
          <w:rFonts w:ascii="Times New Roman" w:cs="Times New Roman" w:eastAsia="Times New Roman" w:hAnsi="Times New Roman"/>
          <w:sz w:val="18"/>
          <w:szCs w:val="18"/>
          <w:color w:val="auto"/>
        </w:rPr>
        <w:t>be immediately due and payable. These factors could have a material adverse effect on our business, financial condition, results of operations, cash flows, and/or share price.</w:t>
      </w:r>
    </w:p>
    <w:p>
      <w:pPr>
        <w:spacing w:after="0" w:line="2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TOTAL AMOUNT OF INDEBTEDNESS RELATED TO OUR OUTSTANDING CASH CONVERTIBLE NOTES DUE 2015 (THE “CASH CONVERTIBLE NOTES”) WILL INCREASE IF NEW MYLAN’S STOCK PRICE INCREASES. ALSO, WE HAVE ENTERED INTO HEDGES AND WARRANT TRANSACTIONS IN CONNECTION WITH THE CASH CONVERTIBLE NOTES IN ORDER TO HEDGE SOME OF THE RISK ASSOCIATED WITH THE POTENTIAL INCREASE OF INDEBTEDNESS AND SETTLEMENT VALUE. SUCH TRANSACTIONS HAVE BEEN CONSUMMATED WITH CERTAIN COUNTERPARTIES, MAINLY HIGHLY RATED FINANCIAL INSTITUTIONS. ANY INCREASE IN INDEBTEDNESS, NET EXPOSURE RELATED TO THE RISK OR FAILURE OF ANY COUNTERPARTIES TO PERFORM THEIR OBLIGATIONS, COULD HAVE ADVERSE EFFECTS ON US, INCLUDING UNDER OUR DEBT AGREEMENTS.</w:t>
      </w:r>
    </w:p>
    <w:p>
      <w:pPr>
        <w:spacing w:after="0" w:line="18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Prior to the consummation of the Transaction, the value of the total amount of indebtedness related to our Cash Convertible Notes was based on our share price. In connection with the consummation of the Transaction, we and New Mylan executed a supplemental indenture that amended the indenture governing the Cash Convertible Notes so that, among other things, all relevant determinations for purposes of the cash conversion rights to which holders may be entitled from time to time in accordance with such indenture shall be made by reference to the New Mylan ordinary shares. From and after the consummation of the Transaction, the value of the total amount of indebtedness related to our Cash Convertible Notes will be based on New Mylan’s share price. Under applicable accounting rules, the cash conversion feature that is a term of the Cash Convertible Notes must be recorded as a liability on our balance sheet and periodically marked to fair value. If New Mylan’s stock price increases, the liability associated with the cash conversion feature would increase and, because this liability must be periodically marked to fair value on our balance sheet, the total amount of indebtedness related to the notes that is shown on our balance sheet would also increase. This could have adverse effects on us, including under any future debt agreements that contain covenants based on a definition of total indebtedness as defined under U.S. GAAP. As a result, we may not be able to comply with such covenants in the future, which could, among other things, restrict our ability to grow our business, take advantage of business opportunities or respond to competitive pressures. The occurrence of any of the above risks could have a material adverse effect on our business, financial condition, results of operations, cash flows, and/or share price.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Cash Convertible Notes, we entered into convertible note hedge and warrant transactions with certain financial institutions, each of which we refer to as a counterparty. In connection with the consummation of the Transaction, the terms of the convertible note hedge were adjusted so that the cash settlement value will be based on New Mylan ordinary shares. The terms of the warrant transactions were also adjusted so that, from and after the consummation of the Transaction, we may settle the obligations under the warrant transaction by delivering New Mylan ordinary shares. The cash convertible note hedge is comprised of purchased cash-settled call options that are expected to reduce our exposure to potential cash payments required to be made by us upon the cash conversion of the Cash Convertible Notes. We have also entered into respective warrant transactions with the counterparties pursuant to which, as amended, we will have sold to each counterparty warrants for the purchase of shares of New Mylan’s ordinary shares. Together, each of the convertible note hedges and warrant transactions are expected to provide us with some protection against increases in New Mylan’s stock price over the conversion price per share. However, there is no assurance that these transactions will remain in effect at all times. Also, although we believe the counterparties are highly rated financial institutions, there are no assurances that the counterparties will be able to perform their respective obligations under the agreement we have with each of them. Any net exposure related to conversion of the notes or any failure of the counterparties to perform their obligations under the agreements we have with them could have a material adverse effect on our business, financial condition, results of operations, cash flows, and/or share price.</w:t>
      </w:r>
    </w:p>
    <w:p>
      <w:pPr>
        <w:spacing w:after="0" w:line="293"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AGREEMENTS IN THE NORMAL COURSE OF BUSINESS WHICH PERIODICALLY INCORPORATE PROVISIONS WHEREBY WE INDEMNIFY THE OTHER PARTY TO THE AGREEMENT.</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employment, legal settlement, and other agreements which incorporate indemnification provisions. In some but not all cases, we maintain insurance coverage which we believe will effectively mitigate our obligations under certain of these indemnification provisions. However, should our obligation under an indemnification provision exceed any applicable coverage or should coverage be denied, our business, financial condition, results of operations, cash flows, and/or share price could be materially adversely affected.</w:t>
      </w:r>
    </w:p>
    <w:p>
      <w:pPr>
        <w:spacing w:after="0" w:line="28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AND CHANGES IN EXCHANGE RATES COULD ADVERSELY AFFECT OUR BUSINESS, FINANCIAL CONDITION, RESULTS OF OPERATIONS, CASH FLOWS, AND/OR SHARE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Although we report our financial results in U.S. Dollars, a significant portion of our revenues, indebtedness and other liabilities and our costs are denominated in foreign currencies, including among others the Euro, Indian Rupee, British Pound, Canadian Dollar, Japanese Yen, Australian Dollar and Brazilian Real. Our results of operations and, in some cases, cash flows, have in the past been and may in the future be adversely affected by certain movements in currency exchange rates. In particular, the risk of a debt default by one or more European countries and related European or national financial restructuring efforts may cause volatility in the value of the Euro. Defaults or restructurings in other countries could have a similar adverse impact.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The occurrence of any of the above risks could cause a material adverse effect on our business, financial condition, results of operations, cash flows, and/or share price.</w:t>
      </w:r>
    </w:p>
    <w:p>
      <w:pPr>
        <w:spacing w:after="0" w:line="2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6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litigation related contingencies based on estimates of probable future costs, such litigation related contingencies could result in substantial further costs. Also, any new or revised accounting standards may require adjustments to previously issued financial statements. Any such changes could result in corresponding changes to the amounts of liabilities, revenues, expenses and income. Any such changes could have a material adverse effect on our business, financial condition, results of operations, cash flows, and/or share price.</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ADEQUATE INTERNAL CONTROLS AND BE ABLE, ON AN ANNUAL BASIS, TO PROVIDE AN ASSERTION AS TO THE EFFECTIVENESS OF SUCH CONTROLS.</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(“Section 404”) requires management’s annual review and evaluation of our internal control over financial reporting and attestation as to the effectiveness of these controls by our independent registered public accounting firm.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and/or share price.</w:t>
      </w:r>
    </w:p>
    <w:p>
      <w:pPr>
        <w:spacing w:after="0" w:line="28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ON OUR CONTINUED ABILITY TO ATTRACT AND RETAIN KEY PERSONNEL. LOSS OF KEY PERSONNEL COULD LEAD TO LOSS OF CUSTOMERS, BUSINESS DISRUPTION, AND A DECLINE IN REVENUES, ADVERSELY AFFECT THE PROGRESS OF PIPELINE PRODUCTS, OR OTHERWISE ADVERSELY AFFECT OUR OPERATIONS.</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It is important that we attract and retain qualified personnel in order to develop and commercialize new products, manage the business, and compete effectively. Competition for qualified personnel in the pharmaceutical industry is very intense. If we fail to attract and retain key scientific, technical, commercial, or management personnel, our business could be affected adversely. Additionally, while we have employment agreements with certain key employees in place, their employment for the duration of the agreement is not guaranteed. Current and prospective employees might also experience uncertainty about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580" w:right="259" w:bottom="1440" w:gutter="0" w:footer="0" w:header="0"/>
        </w:sectPr>
      </w:pPr>
    </w:p>
    <w:bookmarkStart w:id="46" w:name="page47"/>
    <w:bookmarkEnd w:id="46"/>
    <w:p>
      <w:pPr>
        <w:ind w:right="40"/>
        <w:spacing w:after="0" w:line="266" w:lineRule="auto"/>
        <w:rPr>
          <w:sz w:val="20"/>
          <w:szCs w:val="20"/>
          <w:color w:val="auto"/>
        </w:rPr>
      </w:pPr>
      <w:r>
        <w:rPr>
          <w:rFonts w:ascii="Times New Roman" w:cs="Times New Roman" w:eastAsia="Times New Roman" w:hAnsi="Times New Roman"/>
          <w:sz w:val="18"/>
          <w:szCs w:val="18"/>
          <w:color w:val="auto"/>
        </w:rPr>
        <w:t>their future roles with us following the consummation of the Transaction, which might adversely affect our ability to retain key managers and other employees. If we are unsuccessful in retaining our key employees or enforcing certain post-employment contractual provisions such as confidentiality or non-competition, it could have a material adverse effect on our business, financial condition, results of operations, cash flows, and/or share price.</w:t>
      </w:r>
    </w:p>
    <w:p>
      <w:pPr>
        <w:spacing w:after="0" w:line="2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ENHANCING AND FURTHER DEVELOPING OUR GLOBAL ENTERPRISE RESOURCE PLANNING SYSTEMS AND ASSOCIATED BUSINESS APPLICATIONS, WHICH COULD RESULT IN BUSINESS INTERRUPTIONS IF WE ENCOUNTER DIFFICULTIES.</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enhancing and further developing our global enterprise resource planning (“ERP”) and other business critical information technology (“IT”) infrastructure systems and associated applications to provide more operating efficiencies and effective management of our business and financial operations. Such changes to ERP systems and related software, and other IT infrastructure carry risks such as cost overruns, project delays and business interruptions and delays. If we experience a material business interruption as a result of our ERP enhancements, it could have a material adverse effect on our business, financial condition, results of operations, cash flows, and/or share price.</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INFORMATION TECHNOLOGY AND OUR SYSTEMS AND INFRASTRUCTURE FACE CERTAIN RISKS, INCLUDING CYBERSECURITY AND DATA LEAKAGE RISKS.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Significant disruptions to our information technology systems or breaches of information security could adversely affect our business. We are increasingly dependent on sophisticated information technology systems and infrastructure to operate our business. In the ordinary course of business, we collect, store and transmit large amounts of confidential information, and it is critical that we do so in a secure manner to maintain the confidentiality and integrity of such confidential information. We also have outsourced significant elements of our operations to third parties, some of which are outside the U.S., including significant elements of our information technology infrastructure, and as a result we are managing many independent vendor relationships with third parties who may or could have access to our confidential information. The size and complexity of our information technology systems, and those of our third party vendors with whom we contract, make such systems potentially vulnerable to service interruptions. The size and complexity of our and our vendors' systems and the large amounts of confidential information that is present on them also makes them potentially vulnerable to security breaches from inadvertent or intentional actions by our employees, partners or vendors, or from attacks by malicious third parties. We and our vendors could be susceptible to third party attacks on our information security systems, which attacks are of ever increasing levels of sophistication and are made by groups and individuals with a wide range of motives and expertise, including criminal groups, “hackers” and others. Maintaining the secrecy of this confidential, proprietary, and/or trade secret information is important to our competitive business position. However, such information can be difficult to protect. While we have taken steps to protect such information and invested heavily in information technology, there can be no assurance that our efforts will prevent service interruptions or security breaches in our systems or the unauthorized or inadvertent wrongful use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loss or disclosure of confidential information, could result in financial, legal, business, and reputational harm to us and could have a material adverse effect on our business, financial condition, results of operations, cash flows, and/or share price.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EXPANSION OF SOCIAL MEDIA PLATFORMS PRESENT NEW RISKS AND CHALLENGES.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inappropriate use of certain social media vehicles could cause brand damage or information leakage or could lead to legal implications from the improper collection and/or dissemination of personally identifiable information. In addition, negative posts or comments about us on any social networking web site could seriously damage our reputation. Further, the disclosure of non-public company sensitive information through external media channels could lead to information loss as there might not be structured processes in place to secure and protect information. If our non-public sensitive information is disclosed or if our reputation is seriously damaged through social media, it could have a material adverse effect on our business, financial condition, results of operations, cash flows, and/or share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jc w:val="center"/>
        <w:ind w:right="9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regarding properties, refer to Item 1, “Business,” in Part I of this Annual Report.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refer to Note 14, “Contingencies,” in the accompanying Notes to Consolidated Financial Statements in this Annual Report.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20"/>
          </w:cols>
          <w:pgMar w:left="240" w:top="576"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On February 27, 2015, Mylan became an indirect wholly owned subsidiary of New Mylan, and Mylan’s common stock ceased trading on the NASDAQ Stock Market. New Mylan’s ordinary shares began trading on the NASDAQ Stock Market under the symbol “MYL” on March 2, 2015. The following table sets forth the quarterly high and low sales prices for our common stock for the periods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2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3"/>
                <w:szCs w:val="13"/>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41.97</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June 30, 2014</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44.74</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44.80</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December 31, 2014</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45.02</w:t>
            </w:r>
          </w:p>
        </w:tc>
      </w:tr>
      <w:tr>
        <w:trPr>
          <w:trHeight w:val="581"/>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24"/>
                <w:szCs w:val="24"/>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March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27.38</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June 30, 2013</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27.66</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 2013</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w:t>
            </w:r>
          </w:p>
        </w:tc>
      </w:tr>
      <w:tr>
        <w:trPr>
          <w:trHeight w:val="243"/>
        </w:trPr>
        <w:tc>
          <w:tcPr>
            <w:tcW w:w="9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 months ended December 31, 2013</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36.97</w:t>
            </w:r>
          </w:p>
        </w:tc>
      </w:tr>
    </w:tbl>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February 24, 2015, there were approximately 159,174 shareholders of Mylan Inc. common stock, including those held in street or nominee name. On February 27, 2015, each share of Mylan Inc. common stock issued and outstanding was canceled and automatically converted into and became the right to receive one Mylan N.V. ordinary share.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Mylan did not pay dividends in 2014 and New Mylan does not intend to pay dividends on its ordinary shares in the near future.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33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On October 29, 2013, the Company announced that its Board of Directors had approved the repurchase of up to $500 million of the Company’s common stock in the open market or through other methods. The repurchase of approximately 12.2 million shares for $500 million was completed by December 31, 2013.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past three years, we have issued unregistered securities in connection with the following transactions: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June 2013, we issued $1.15 billion aggregate principal amount of 1.800% Senior Notes due 2016 and 2.600% Senior Notes due 2018 in a private offering exempt from the registration requirements of the Securities Act to qualified institutional buyers in accordance with Rule 144A and to persons outside of the United States pursuant to Regulation S under the Securities Act. The Company filed a registration statement with the SEC with respect to an offer to exchange these notes for registered notes with the same aggregate principal amount and terms substantially identical in all material respects.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December 2012, we issued $750.0 million aggregated principal amount of 3.125% Senior Notes due 2023. These notes were issued in a private offering exempt from the registration requirements of the Securities Act to qualified institutional buyers in accordance with Rule 144A and to persons outside of the United States pursuant to Regulation S under the Securities Act.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76" w:right="2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Set forth below is a performance graph comparing the cumulative total return (assuming reinvestment of dividends), in U.S. Dollars, for the calendar years ended December 31, 2010, 2011, 2012, 2013 and 2014 of $100 invested on December 31, 2009 in Mylan’s Common Stock, the Standard &amp; Poor’s 500 Index and the Dow Jones U.S. Pharmaceuticals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123190</wp:posOffset>
            </wp:positionV>
            <wp:extent cx="5848985" cy="3249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20" w:type="dxa"/>
            <w:vAlign w:val="bottom"/>
            <w:tcBorders>
              <w:top w:val="single" w:sz="8" w:color="auto"/>
              <w:left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right w:val="single" w:sz="8" w:color="auto"/>
            </w:tcBorders>
          </w:tcPr>
          <w:p>
            <w:pPr>
              <w:spacing w:after="0"/>
              <w:rPr>
                <w:sz w:val="24"/>
                <w:szCs w:val="24"/>
                <w:color w:val="auto"/>
              </w:rPr>
            </w:pPr>
          </w:p>
        </w:tc>
        <w:tc>
          <w:tcPr>
            <w:tcW w:w="9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12/09</w:t>
            </w:r>
          </w:p>
        </w:tc>
        <w:tc>
          <w:tcPr>
            <w:tcW w:w="9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12/10</w:t>
            </w:r>
          </w:p>
        </w:tc>
        <w:tc>
          <w:tcPr>
            <w:tcW w:w="90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12/11</w:t>
            </w:r>
          </w:p>
        </w:tc>
        <w:tc>
          <w:tcPr>
            <w:tcW w:w="9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12/12</w:t>
            </w:r>
          </w:p>
        </w:tc>
        <w:tc>
          <w:tcPr>
            <w:tcW w:w="9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12/13</w:t>
            </w:r>
          </w:p>
        </w:tc>
        <w:tc>
          <w:tcPr>
            <w:tcW w:w="90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12/14</w:t>
            </w:r>
          </w:p>
        </w:tc>
      </w:tr>
      <w:tr>
        <w:trPr>
          <w:trHeight w:val="274"/>
        </w:trPr>
        <w:tc>
          <w:tcPr>
            <w:tcW w:w="4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Mylan Inc.</w:t>
            </w:r>
          </w:p>
        </w:tc>
        <w:tc>
          <w:tcPr>
            <w:tcW w:w="1960" w:type="dxa"/>
            <w:vAlign w:val="bottom"/>
            <w:tcBorders>
              <w:bottom w:val="single" w:sz="8" w:color="CCEEFF"/>
              <w:right w:val="single" w:sz="8" w:color="auto"/>
            </w:tcBorders>
            <w:shd w:val="clear" w:color="auto" w:fill="CCEEFF"/>
          </w:tcPr>
          <w:p>
            <w:pPr>
              <w:spacing w:after="0"/>
              <w:rPr>
                <w:sz w:val="23"/>
                <w:szCs w:val="23"/>
                <w:color w:val="auto"/>
              </w:rPr>
            </w:pP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114.65</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116.44</w:t>
            </w: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148.94</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235.49</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305.86</w:t>
            </w:r>
          </w:p>
        </w:tc>
      </w:tr>
      <w:tr>
        <w:trPr>
          <w:trHeight w:val="237"/>
        </w:trPr>
        <w:tc>
          <w:tcPr>
            <w:tcW w:w="402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1960" w:type="dxa"/>
            <w:vAlign w:val="bottom"/>
            <w:tcBorders>
              <w:top w:val="single" w:sz="8" w:color="auto"/>
              <w:right w:val="single" w:sz="8" w:color="auto"/>
            </w:tcBorders>
          </w:tcPr>
          <w:p>
            <w:pPr>
              <w:spacing w:after="0"/>
              <w:rPr>
                <w:sz w:val="20"/>
                <w:szCs w:val="20"/>
                <w:color w:val="auto"/>
              </w:rPr>
            </w:pPr>
          </w:p>
        </w:tc>
        <w:tc>
          <w:tcPr>
            <w:tcW w:w="9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115.06</w:t>
            </w:r>
          </w:p>
        </w:tc>
        <w:tc>
          <w:tcPr>
            <w:tcW w:w="90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117.49</w:t>
            </w:r>
          </w:p>
        </w:tc>
        <w:tc>
          <w:tcPr>
            <w:tcW w:w="9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136.30</w:t>
            </w:r>
          </w:p>
        </w:tc>
        <w:tc>
          <w:tcPr>
            <w:tcW w:w="90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180.44</w:t>
            </w:r>
          </w:p>
        </w:tc>
        <w:tc>
          <w:tcPr>
            <w:tcW w:w="90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205.14</w:t>
            </w:r>
          </w:p>
        </w:tc>
      </w:tr>
      <w:tr>
        <w:trPr>
          <w:trHeight w:val="27"/>
        </w:trPr>
        <w:tc>
          <w:tcPr>
            <w:tcW w:w="4020" w:type="dxa"/>
            <w:vAlign w:val="bottom"/>
            <w:tcBorders>
              <w:left w:val="single" w:sz="8" w:color="auto"/>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r>
      <w:tr>
        <w:trPr>
          <w:trHeight w:val="269"/>
        </w:trPr>
        <w:tc>
          <w:tcPr>
            <w:tcW w:w="4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Dow Jones U.S. Pharmaceuticals</w:t>
            </w:r>
          </w:p>
        </w:tc>
        <w:tc>
          <w:tcPr>
            <w:tcW w:w="1960" w:type="dxa"/>
            <w:vAlign w:val="bottom"/>
            <w:tcBorders>
              <w:bottom w:val="single" w:sz="8" w:color="CCEEFF"/>
              <w:right w:val="single" w:sz="8" w:color="auto"/>
            </w:tcBorders>
            <w:shd w:val="clear" w:color="auto" w:fill="CCEEFF"/>
          </w:tcPr>
          <w:p>
            <w:pPr>
              <w:spacing w:after="0"/>
              <w:rPr>
                <w:sz w:val="22"/>
                <w:szCs w:val="22"/>
                <w:color w:val="auto"/>
              </w:rPr>
            </w:pP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102.13</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121.17</w:t>
            </w:r>
          </w:p>
        </w:tc>
        <w:tc>
          <w:tcPr>
            <w:tcW w:w="92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138.01</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184.83</w:t>
            </w:r>
          </w:p>
        </w:tc>
        <w:tc>
          <w:tcPr>
            <w:tcW w:w="900" w:type="dxa"/>
            <w:vAlign w:val="bottom"/>
            <w:tcBorders>
              <w:bottom w:val="single" w:sz="8" w:color="CCEEFF"/>
              <w:right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224.39</w:t>
            </w:r>
          </w:p>
        </w:tc>
      </w:tr>
      <w:tr>
        <w:trPr>
          <w:trHeight w:val="669"/>
        </w:trPr>
        <w:tc>
          <w:tcPr>
            <w:tcW w:w="40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684" w:right="219" w:bottom="1440" w:gutter="0" w:footer="0" w:header="0"/>
        </w:sectPr>
      </w:pPr>
    </w:p>
    <w:bookmarkStart w:id="50" w:name="page51"/>
    <w:bookmarkEnd w:id="50"/>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The selected consolidated financial data set forth below should be read in conjunction with “Management’s Discussion and Analysis of Results of Operations and Financial Condition” and the Consolidated Financial Statements and related Notes to Consolidated Financial Statements included in Item 8 in this Form 10-K. The functional currency of the primary economic environment in which the operations of Mylan and its subsidiaries in the U.S. are conducted is the U.S. Dollar. The functional currency of non-U.S. subsidiaries is generally the local currency in the country in which each subsidiary operates.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xml:space="preserve">2011 </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2010</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7,719.6</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6,909.1</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6,796.1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5,450.5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1"/>
                <w:szCs w:val="21"/>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3,887.8</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3,566.4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3,233.1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Earnings before income taxes and noncontrolling</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the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5"/>
        </w:trPr>
        <w:tc>
          <w:tcPr>
            <w:tcW w:w="41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earnings attributable to Mylan Inc. before</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dividends</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dividends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05"/>
        </w:trPr>
        <w:tc>
          <w:tcPr>
            <w:tcW w:w="41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earnings attributable to Mylan Inc. common</w:t>
            </w: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vMerge w:val="restart"/>
          </w:tcPr>
          <w:p>
            <w:pPr>
              <w:spacing w:after="0"/>
              <w:rPr>
                <w:sz w:val="17"/>
                <w:szCs w:val="17"/>
                <w:color w:val="auto"/>
              </w:rPr>
            </w:pPr>
          </w:p>
        </w:tc>
        <w:tc>
          <w:tcPr>
            <w:tcW w:w="36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81"/>
        </w:trPr>
        <w:tc>
          <w:tcPr>
            <w:tcW w:w="4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Selected Balance Sheet data:</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15,886.6</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15,294.8</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11,931.9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11,598.1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11,536.8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1,709.2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 of long-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debt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8,138.5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5,168.2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5,268.2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Mylan Inc.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shareholders: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50</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44" w:lineRule="exact"/>
        <w:rPr>
          <w:sz w:val="20"/>
          <w:szCs w:val="20"/>
          <w:color w:val="auto"/>
        </w:rPr>
      </w:pPr>
    </w:p>
    <w:p>
      <w:pPr>
        <w:ind w:firstLine="8"/>
        <w:spacing w:after="0" w:line="329" w:lineRule="auto"/>
        <w:tabs>
          <w:tab w:leader="none" w:pos="8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outstanding includes the full year effect of the conversion of the 6.50% mandatorily convertible preferred stock into approximately 125.2 million shares of common stock.</w:t>
      </w:r>
    </w:p>
    <w:p>
      <w:pPr>
        <w:spacing w:after="0" w:line="161" w:lineRule="exact"/>
        <w:rPr>
          <w:rFonts w:ascii="Times New Roman" w:cs="Times New Roman" w:eastAsia="Times New Roman" w:hAnsi="Times New Roman"/>
          <w:sz w:val="18"/>
          <w:szCs w:val="18"/>
          <w:color w:val="auto"/>
        </w:rPr>
      </w:pPr>
    </w:p>
    <w:p>
      <w:pPr>
        <w:ind w:left="860" w:hanging="852"/>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includes the following amounts primarily related to the amortization of purchased intangibles from acquisitions: $391.3 million,</w:t>
      </w:r>
    </w:p>
    <w:p>
      <w:pPr>
        <w:spacing w:after="0" w:line="5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$353.1 million, $349.5 million, $348.6 million and $309.2 million for 2014, 2013, 2012, 2011 and 2010, respectively. In addition, cost of sales included the following amounts related to impairment charges to intangible assets: $27.7 million, $18.0 million, $41.6 million and $16.2 million in 2014, 2013, 2012 and 2011, respectively.</w:t>
      </w:r>
    </w:p>
    <w:p>
      <w:pPr>
        <w:spacing w:after="0" w:line="284" w:lineRule="exact"/>
        <w:rPr>
          <w:sz w:val="20"/>
          <w:szCs w:val="20"/>
          <w:color w:val="auto"/>
        </w:rPr>
      </w:pPr>
    </w:p>
    <w:p>
      <w:pPr>
        <w:ind w:left="5620" w:right="5280" w:hanging="5612"/>
        <w:spacing w:after="0" w:line="566" w:lineRule="auto"/>
        <w:tabs>
          <w:tab w:leader="none" w:pos="8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is calculated as current assets minus current liabilities. 51</w:t>
      </w:r>
    </w:p>
    <w:p>
      <w:pPr>
        <w:sectPr>
          <w:pgSz w:w="11900" w:h="16838" w:orient="portrait"/>
          <w:cols w:equalWidth="0" w:num="1">
            <w:col w:w="11260"/>
          </w:cols>
          <w:pgMar w:left="240" w:top="580" w:right="399" w:bottom="1440" w:gutter="0" w:footer="0" w:header="0"/>
        </w:sectPr>
      </w:pPr>
    </w:p>
    <w:bookmarkStart w:id="52" w:name="page53"/>
    <w:bookmarkEnd w:id="5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addresses material changes in the financial condition and results of operations of Mylan Inc. and subsidiaries (the “Company,” “Mylan,” “our” or “we”) for the periods presented. This discussion and analysis should be read in conjunction with the Consolidated Financial Statements, the related Notes to Consolidated Financial Statements and our other Securities and Exchange Commission (“SEC”) filings and public disclosures.</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Form 10-K contains “forward-looking statements.” These statements are made pursuant to the safe harbor provisions of the Private Securities Litigation Reform Act of 1995. Such forward-looking statements may include, without limitation, statements about the acquisition (the “Abbott Transaction”) by Mylan N.V. (“New Mylan”) of both Mylan and Abbott Laboratories’ (“Abbott”) non-U.S. developed markets specialty and branded generics business (the “Business”), benefits and synergies of the Transaction, future opportunities for Mylan or New Mylan and products, and any other statements regarding Mylan’s or New Mylan’s future operations, anticipated business levels, future earnings, planned activities, anticipated growth, market opportunities, strategies, competition, and other expectations and targets for future periods. These may often be identified by the use of words such as “will,” “may,” “could,” “should,” “would,” “project,” “believe,” “anticipate,” “expect,” “plan,” “estimate,” “forecast,” “potential,” “intend,” “continue,” “target”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ability to meet expectations regarding the accounting and tax treatments of the Transaction; changes in relevant tax and other laws, including but not limited to changes in healthcare and pharmaceutical laws and regulations in the U.S. and abroad; the integration of the Business being more difficult, time-consuming, or costly than expected; operating costs, customer loss and business disruption (including, without limitation, difficulties in maintaining relationships with employees, customers, clients, or suppliers) being greater than expected following the Transaction; the retention of certain key employees of the Business being difficult; the possibility that Mylan and New Mylan may be unable to achieve expected synergies and operating efficiencies in connection with the Transaction within the expected time-frames or at all and to successfully integrate the Business; expected or targeted future financial and operating performance and results; the capacity to bring new products to market, including but not limited to where Mylan or New Mylan uses its business judgment and decides to manufacture, market, and/or sell products, directly or through third parties, notwithstanding the fact that allegations of patent infringement(s) have not been finally resolved by the courts (i.e., an “at-risk launch”); success of clinical trials and our ability to execute on new product opportunities; the scope, timing, and outcome of any ongoing legal proceedings and the impact of any such proceedings on financial condition, results of operations and/or cash flows; the ability to protect intellectual property and preserve intellectual property rights; the effect of any changes in customer and supplier relationships and customer purchasing patterns; the ability to attract and retain key personnel; changes in third-party relationships; the impacts of competition; changes in the economic and financial conditions of the business of Mylan or New Mylan; the inherent challenges, risks, and costs in identifying, acquiring, and integrating complementary or strategic acquisitions of other companies, products or assets and in achieving anticipated synergies; uncertainties and matters beyond the control of management;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Mylan’s business activities, see the risks described in this Annual Report on Form 10-K for the year ended December 31, 2014 and our and New Mylan’s other filings with the SEC. These risks, as well as other risks associated with Mylan, New Mylan, the Business, and the Transaction are also more fully discussed in the Registration Statement on Form S-4 that New Moon B.V. (referred to herein as New Mylan) filed with the SEC on November 5, 2014, as amended on December 9, 2014, and as further amended on December 23, 2014, and in the proxy statement Mylan filed with the SEC on December 24, 2014, as well as the prospectus New Mylan filed with the SEC on December 24, 2014. You can access Mylan’s and New Mylan’s filings with the SEC through the SEC website at www.sec.gov, and the Company strongly encourages you to do so. The Company undertakes no obligation to update any statements herein for revisions or changes after the date of this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Mylan is a leading global pharmaceutical company, which develops, licenses, manufactures, markets and distributes generic, branded generic and specialty pharmaceuticals. Mylan is committed to setting new standards in health care, and our mission is to provide the world’s 7 billion people access to high quality medicine. To do so, we innovate to satisfy unmet needs; make reliability and service excellence a habit; do what's right, not what's easy; and impact the future through passionate global leadership.</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Mylan offers one of the industry’s broadest product portfolios, including approximately 1,400 marketed products, to customers in approximately 140 countries and territories. With the completion of the Transaction, Mylan has expanded its global footprint to reach customers in approximately 145 countries and territories. We operate a global, high quality vertically-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792" w:right="239" w:bottom="1440" w:gutter="0" w:footer="0" w:header="0"/>
        </w:sectPr>
      </w:pPr>
    </w:p>
    <w:bookmarkStart w:id="53" w:name="page54"/>
    <w:bookmarkEnd w:id="53"/>
    <w:p>
      <w:pPr>
        <w:ind w:right="100"/>
        <w:spacing w:after="0" w:line="266" w:lineRule="auto"/>
        <w:rPr>
          <w:sz w:val="20"/>
          <w:szCs w:val="20"/>
          <w:color w:val="auto"/>
        </w:rPr>
      </w:pPr>
      <w:r>
        <w:rPr>
          <w:rFonts w:ascii="Times New Roman" w:cs="Times New Roman" w:eastAsia="Times New Roman" w:hAnsi="Times New Roman"/>
          <w:sz w:val="18"/>
          <w:szCs w:val="18"/>
          <w:color w:val="auto"/>
        </w:rPr>
        <w:t>integrated manufacturing platform, which includes approximately 40 manufacturing facilities around the world and one of the world’s largest active pharmaceutical ingredient (“API”) operations. We also operate a strong research and development (“R&amp;D”) network that has consistently delivered a robust product pipeline. Additionally, Mylan has a specialty business that is focused on respiratory and allergy therapies.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Mylan has two segments, “Generics” and “Specialty.” Generics primarily develops, manufactures, sells and distributes generic or branded generic pharmaceutical products in tablet, capsule, injectable or transdermal patch form, as well as API.</w:t>
      </w:r>
    </w:p>
    <w:p>
      <w:pPr>
        <w:spacing w:after="0" w:line="252" w:lineRule="auto"/>
        <w:rPr>
          <w:sz w:val="20"/>
          <w:szCs w:val="20"/>
          <w:color w:val="auto"/>
        </w:rPr>
      </w:pPr>
      <w:r>
        <w:rPr>
          <w:rFonts w:ascii="Times New Roman" w:cs="Times New Roman" w:eastAsia="Times New Roman" w:hAnsi="Times New Roman"/>
          <w:sz w:val="18"/>
          <w:szCs w:val="18"/>
          <w:color w:val="auto"/>
        </w:rPr>
        <w:t>Our generic pharmaceutical business is conducted primarily in the United States (“U.S.”) and Canada (collectively, “North America”); Europe; and India, Australia, Japan, New Zealand and Brazil as well as our export activity into emerging markets (collectively, “Rest of World”). Our API business is conducted through Mylan Laboratories Limited (“Mylan India”), which is included within Rest of World in our Generics segment. Specialty engages mainly in the manufacture and sale of branded specialty injectable and nebulized products. We also report in Corporate/Other certain R&amp;D expenses, general and administrative expenses, litigation settlements, amortization of intangible assets and certain purchase accounting items, impairment charges, if any, and other items not directly attributable to the segments.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recent events include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Abbott Branded Generics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13, 2014, the Company entered into a definitive agreement with Abbott to acquire Abbott’s non-U.S. developed markets specialty and branded generics business (the “Business”) in an all-stock transaction. On November 4, 2014, the Company and Abbott entered into an amended and restated definitive agreement implementing the transaction (the “Transaction Agreement”). The transaction, defined below, closed on February 27, 2015, after receiving approval from Mylan’s shareholders on January 29, 2015. At closing, Abbott transferred the Business to Mylan N.V., (“New Mylan”) in exchange for 110 million ordinary shares of New Mylan. Immediately after the transfer of the Business, Mylan merged with a wholly owned subsidiary of New Mylan (together with the transfer of the Business, the “Transaction”), with Mylan becoming a wholly owned indirect subsidiary of New Mylan. Mylan’s outstanding common stock was exchanged on a one to one basis for New Mylan ordinary shares. As a result of the Transaction, New Mylan’s corporate seat is located in Amsterdam, the Netherlands, and its principal executive offices are located in Potters Bar, United Kingdom. New Mylan will also have global centers of excellence in the U.S., Europe and India.</w:t>
      </w:r>
    </w:p>
    <w:p>
      <w:pPr>
        <w:spacing w:after="0" w:line="18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Business includes more than 100 specialty and branded generic pharmaceutical products in five major therapeutic areas and includes several patent protected, novel and/or hard-to-manufacture products. As a result of the acquisition, Mylan N.V. has significantly expanded and strengthened its product portfolio in Europe, Japan, Canada, Australia and New Zealand.</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of the Transaction, which was on a debt-free basis, was $6.31 billion based on the closing price of Mylan stock as of the Transaction closing date, as reported by the NASDAQ Stock Market. As a result of the Transaction, Mylan shareholders own approximately 78% of New Mylan and Abbott’s affiliates own approximately 22% of New Mylan. New Mylan and Abbott entered into a shareholder agreement in connection with the Transaction.</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U.S. GAAP, New Mylan will use the purchase method of accounting to account for this Transaction with Mylan being treated as the accounting acquirer.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Agila Specialties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27, 2013, the Company announced that it signed definitive agreements to acquire Agila Specialties businesses (“Agila”), a developer, manufacturer and marketer of high-quality generic injectable products, from Strides Arcolab Limited (“Strides Arcolab”). The transaction closed on December 4, 2013, and the total purchase price was approximately $1.43 billion (net of cash acquired of $3.4 million), which included estimated contingent consideration of $250 million. During the three months ended September 30, 2014, the Company entered into an agreement with Strides Arcolab to settle a portion of the contingent consideration for $150 million, for which the Company had accrued $230 million at the acquisition date. As a result of this agreement, the Company recognized a gain of $80 million during the year ended December 31, 2014, which is included in other operating (income) expense, net in the Consolidated Statements of Operations.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remaining contingent consideration, which could total a maximum of $211 million, is primarily related to the satisfaction of certain regulatory conditions, including potential regulatory remediation costs and the resolution of certain pre-acquisition contingencies. The acquisition of Agila significantly expanded and strengthened Mylan's injectables platform and portfolio, and also provided Mylan entry into certain new geographic markets.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580"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February 2, 2015, the Company signed a definitive agreement to acquire certain female health care businesses from Famy Care Limited (“Famy Care”), a specialty women’s health care company with global leadership in generic oral contraceptive products. The purchase price is $750 million in cash plus additional contingent payments of up to $50 million. The transaction is expected to close in the second half of 2015, subject to regulatory approvals and certain closing conditions.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30, 2015, the Company entered into a development and commercialization collaboration with Theravance Biopharma, Inc. (“Theravance Biopharma”) for the development and, subject to U.S. Food and Drug Administration (“FDA”) approval, commercialization of TD-4208, a novel once-daily nebulized long-acting muscarinic antagonist (“LAMA”) for chronic obstructive pulmonary disease (“COPD”) and other respiratory diseases. Under the terms of the agreement, Mylan and Theravance Biopharma will co-develop nebulized TD-4208 for COPD and other respiratory diseases. Theravance Biopharma will lead the U.S. registrational development program and Mylan will be responsible for reimbursement of Theravance Biopharma's costs for that program up until the approval of the first new drug application, after which costs will be shared. In addition, Mylan will be responsible for commercial manufacturing. In the U.S., Mylan will lead commercialization and Theravance Biopharma will retain the right to co-promote the product under a profit-sharing arrangement. In addition to funding the U.S. registrational development program, Mylan will pay Theravance Biopharma an initial payment of $15 million in the second quarter of 2015 and made a $30 million equity investment in Theravance Biopharma. Under the terms of the agreement, Theravance Biopharma is eligible to receive potential development and sales milestone payments totaling $220 million in the aggregate.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September 10, 2014, the Company entered into an agreement with Aspen Global Incorporated to acquire the U.S. commercialization, marketing and intellectual property rights related to Arixtra® Injection (“Arixtra”) and the authorized generic rights of Arixtra. The purchase price for this intangible asset was $300 million, of which $225 million was paid at the closing of the transaction on September 25, 2014. An additional $37.5 million was paid during the fourth quarter of 2014. The remaining $37.5 million is held in escrow and will be released upon satisfaction of certain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Facilities and Issuance of Senior Notes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December 2014, the Company entered into a new Revolving Credit Agreement with a syndication of lenders, which contains a $1.5 billion revolving facility (the “New Revolving Facility”). The New Revolving Facility includes a $150 million subfacility for the issuance of letters of credit and a $125 million subfacility for swingline borrowings. Amounts drawn on the New Revolving Facility become due and payable on December 19, 2019.</w:t>
      </w:r>
    </w:p>
    <w:p>
      <w:pPr>
        <w:spacing w:after="0" w:line="176"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In December 2014, the Company also entered into a new Term Credit Agreement with a syndicate of banks which provided an $800 million term loan (“2014 Term Loan”). The 2014 Term Loan matures on December 19, 2017 and has no required amortization payments. The proceeds of the 2014 Term Loan were used for working capital expenditures and to repay outstanding borrowings under the Company’s credit agreement entered into in June 2013 (the “June 2013 Credit Agreement”). Borrowings under the June 2013 Credit Agreement were used to fund the redemption of the November 2018 Senior Notes.</w:t>
      </w:r>
    </w:p>
    <w:p>
      <w:pPr>
        <w:spacing w:after="0" w:line="16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January 2015, Mylan Securitization LLC (“Mylan Securitization”) entered into a new accounts receivable securitization facility with a group of financial institutions and commercial paper conduits sponsored by financial institutions (the “Receivables Facility”). The Receivables Facility has a committed balance of $400 million, although from time-to-time, the available amount of the Receivables Facility may be less than $400 million based on accounts receivable concentration limits and other eligibility requirements. The Receivables Facility matures in January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November 2013, we issued $2.0 billion aggregate principal amount of registered Senior Notes, comprised of 1.350% Senior Notes due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2.550% Senior Notes due 2019, 4.200% Senior Notes due 2023 and 5.400% Senior Notes due 2043. The net proceeds from the offering were used to fund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Agila and for general corporate purposes, including, but not limited to, the repayment of short-term borrowings and funding of the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executed in the fourth quarter of 2013.</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June 2013, we issued $1.15 billion aggregate principal amount of 1.800% Senior Notes due 2016 and 2.600% Senior Notes due 2018 (“June 2013 Senior Notes”) in a private offering exempt from the registration requirements of the Securities Act to qualified institutional buyers in accordance with Rule 144A and to persons outside of the United States pursuant to Regulation S under the Securities Act. The Company filed a registration statement with the SEC with respect to an offer to exchange these notes for registered notes with the same aggregate principal amount and terms substantially identical in all material respects. This registration statement was declared effective on January 31, 2014 and the exchange offer was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576" w:right="279" w:bottom="1440" w:gutter="0" w:footer="0" w:header="0"/>
        </w:sectPr>
      </w:pPr>
    </w:p>
    <w:bookmarkStart w:id="55" w:name="page56"/>
    <w:bookmarkEnd w:id="55"/>
    <w:p>
      <w:pPr>
        <w:ind w:right="120"/>
        <w:spacing w:after="0" w:line="282" w:lineRule="auto"/>
        <w:rPr>
          <w:sz w:val="20"/>
          <w:szCs w:val="20"/>
          <w:color w:val="auto"/>
        </w:rPr>
      </w:pPr>
      <w:r>
        <w:rPr>
          <w:rFonts w:ascii="Times New Roman" w:cs="Times New Roman" w:eastAsia="Times New Roman" w:hAnsi="Times New Roman"/>
          <w:sz w:val="18"/>
          <w:szCs w:val="18"/>
          <w:color w:val="auto"/>
        </w:rPr>
        <w:t>completed on March 4, 2014. Net proceeds from the June 2013 Senior Notes were used to repay all of its outstanding $1.13 billion 2011 Term Loans and for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2014, Mylan reported total revenues of $7.72 billion compared to $6.91 billion for the year ended December 31, 2013. This represents an increase in revenues of $810.5 million, or 11.7%. Consolidated gross profit for the current year was $3.53 billion, compared to $3.04 billion in the prior year, an increase of $487.7 million, or 16.0%. For the current year, earnings from operations were $1.35 billion, as compared to $1.14 billion for the year ended December 31, 2013, an increase of $217.1 million, or 19.1%.</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earnings attributable to Mylan Inc. common shareholders increased $305.7 million, or 49.0%, to $929.4 million for the year ended December 31, 2014 compared to $623.7 million for the prior year. Diluted earnings per common share attributable to Mylan Inc. increased 48.1% from $1.58 to $2.34 for the year ended December 31, 2014 compared to the prior year.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580" w:right="259" w:bottom="1440" w:gutter="0" w:footer="0" w:header="0"/>
        </w:sectPr>
      </w:pPr>
    </w:p>
    <w:bookmarkStart w:id="56" w:name="page57"/>
    <w:bookmarkEnd w:id="56"/>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 of “constant currency” sales. This measure provides information on the change in net sales assuming that foreign currency exchange rates had not changed between the prior and current period. The comparisons presented at constant currency rates reflect comparative local currency sales at the prior year's foreign exchange rates. We routinely evaluate our third party net sales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following table compares third party net sales on an actual and constant currency basis for each reportable segment and the geographic regions within the Generics segment for the years ended December 31, 2014,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100" w:type="dxa"/>
            <w:vAlign w:val="bottom"/>
          </w:tcPr>
          <w:p>
            <w:pPr>
              <w:spacing w:after="0"/>
              <w:rPr>
                <w:sz w:val="23"/>
                <w:szCs w:val="23"/>
                <w:color w:val="auto"/>
              </w:rPr>
            </w:pPr>
          </w:p>
        </w:tc>
        <w:tc>
          <w:tcPr>
            <w:tcW w:w="258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14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Generics: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 net sales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3,225.4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third party net sales</w:t>
            </w:r>
          </w:p>
        </w:tc>
        <w:tc>
          <w:tcPr>
            <w:tcW w:w="26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6,459.3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5,874.9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5,914.9</w:t>
            </w:r>
          </w:p>
        </w:tc>
        <w:tc>
          <w:tcPr>
            <w:tcW w:w="1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311"/>
        </w:trPr>
        <w:tc>
          <w:tcPr>
            <w:tcW w:w="2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third party revenues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third party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5,946.2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Generics total revenues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6,515.1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5,906.4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5,949.3</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party net sales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Other third party revenues</w:t>
            </w:r>
          </w:p>
        </w:tc>
        <w:tc>
          <w:tcPr>
            <w:tcW w:w="260" w:type="dxa"/>
            <w:vAlign w:val="bottom"/>
          </w:tcPr>
          <w:p>
            <w:pPr>
              <w:spacing w:after="0" w:line="20" w:lineRule="exact"/>
              <w:rPr>
                <w:sz w:val="1"/>
                <w:szCs w:val="1"/>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third party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Specialty total revenues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1,218.2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887.0</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Elimination of intersegment sales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6,909.1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6,796.1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More information about other non-GAAP measures used by the Company as part of this discussion, including Adjusted Cost of Sales, Adjusted Gross Margins, Adjusted Earnings and Adjusted EPS can be found in “Item 7. Management’s Discussion and Analysis of Financial Condition and Results of Operations - Results of Operations - Use of Non-GAAP Financial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Compared to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 and Gross Profit</w:t>
      </w:r>
    </w:p>
    <w:p>
      <w:pPr>
        <w:spacing w:after="0" w:line="22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Mylan reported total revenues of $7.72 billion compared to $6.91 billion in the prior year. Total revenues include both net sales and other revenues from third parties. Third party net sales for the current year were $7.65 billion compared to $6.86 billion for the prior year, representing an increase of $789.9 million, or 11.5%. Other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third party revenues for the current year were $73.1 million compared to $52.5 million in the prior year, an increase of $20.6 million.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Mylan’s current year revenues were unfavorably impacted by the effect of foreign currency translation, primarily reflecting changes in the U.S. Dollar as compared to the currencies of Mylan’s subsidiaries in India, Japan, Australia and Canada. The unfavorable impact of foreign currency translation on current year total revenues was approximately $86 million, or 1%. As such, constant currency total revenues increased approximately $897 million, or 13%. The increase in constant currency total revenues was the result of double digit third party net sales growth in the Specialty and Generics segments, which included growth in all regions. The contribution from new products, and to a lesser extent, net sales from acquired businesses, totaled approximately $593 million in 2014. Constant currency net sales from existing products increased approximately $283 million as a result of constant currency increases in volume of approximately $203 million and in pricing of approximately $80 million.</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arriving at net sales, gross sales are reduced by provisions for estimates, including discounts, rebates, promotions, price adjustments, returns and chargebacks. See the section titled </w:t>
      </w:r>
      <w:r>
        <w:rPr>
          <w:rFonts w:ascii="Times New Roman" w:cs="Times New Roman" w:eastAsia="Times New Roman" w:hAnsi="Times New Roman"/>
          <w:sz w:val="18"/>
          <w:szCs w:val="18"/>
          <w:i w:val="1"/>
          <w:iCs w:val="1"/>
          <w:color w:val="auto"/>
        </w:rPr>
        <w:t>Application of Critical Accounting Policies</w:t>
      </w:r>
      <w:r>
        <w:rPr>
          <w:rFonts w:ascii="Times New Roman" w:cs="Times New Roman" w:eastAsia="Times New Roman" w:hAnsi="Times New Roman"/>
          <w:sz w:val="18"/>
          <w:szCs w:val="18"/>
          <w:color w:val="auto"/>
        </w:rPr>
        <w:t xml:space="preserve"> in this Item 7, for a discussion of our methodology with respect to such provisions. For 2014, the most significant amounts charged against gross sales were $3.47 billion related to chargebacks and $1.55 billion related to incentives offered to our direct customers, such as promotions and volume related incentives. For 2013, the most significant amounts charged against gross sales were for chargebacks in the amount of $2.35 billion and incentives offered to our direct customers in the amount of $1.64 billion.</w:t>
      </w:r>
    </w:p>
    <w:p>
      <w:pPr>
        <w:spacing w:after="0" w:line="18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Cost of sales for the year ended December 31, 2014 was $4.19 billion, compared to $3.87 billion in the prior year. Cost of sales for the current year was impacted by the amortization of acquired intangible assets of approximately $403.6 million and restructuring and other special items of approximately $113.7 million as described further in the section titled “Use of Non-GAAP Financial Measures.” The prior year comparable period cost of sales included similar purchase accounting related amortization of approximately $369.1 million and restructuring and other special items of approximately $54.7 million. The increase in current year purchase accounting related amortization and restructuring and other special items is principally the result of increased acquisition related costs and amortization expense as a result of the Agila acquisition, which was completed in late 2013. Excluding purchase accounting related amortization and restructuring and other special items, Adjusted Cost of Sales in the current year increased to $3.67 billion from $3.45 billion, corresponding to the increase in net sales.</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profit for the current year was $3.53 billion and gross margins were 45.7%. For 2013, gross profit was $3.04 billion, and gross margins were 44.0%. Excluding the purchase accounting related amortization and restructuring and other special items discussed in the paragraph above, Adjusted Gross Margins were approximately 52% and 50% in 2014 and 2013, respectively. Adjusted Gross Margins were favorably impacted in the current year as a result of new product introductions by approximately 180 basis points and favorable pricing and volume on the EpiPen® Auto-Injector in our Specialty segment by approximately 45 basis points. These increases were partially offset by lower pricing on existing products within the Generics segment.</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launches and the amount, if any, of additional competition in the market. Our top ten products in terms of sales, in the aggregate, represented approximately 33% and 31% of the Company’s total revenues in 2014 and 2013,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Generics Segment</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current year, Generics third party net sales were $6.46 billion compared to $5.87 billion in the prior year, an increase of $584.5 million, or 9.9%. Foreign currency had an unfavorable impact on third party net sales for the current year. Generics constant currency third party net sales for the current year increased by approximately $671 million, or 11% when compared to the prior year.</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Third party net sales from North America were $3.36 billion for the current year, compared to $3.01 billion for the prior year, representing an increase of $354.6 million, or 11.8%. The increase in current year third party net sales was principally due to net sales from new products, and to a lesser extent, net sales from acquired businesses totaling approximately $480 million. This increase was partially offset by lower volumes on existing products. The effect of foreign currency translation was insignificant within North America.</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Products generally contribute most significantly to revenues and gross margins at the time of their launch, even more so in periods of market exclusivity, or in periods of limited generic competition. As such, the timing of new product introductions can have a significant impact on the Company’s financial results. The entrance into the market of additional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580" w:right="259" w:bottom="1440" w:gutter="0" w:footer="0" w:header="0"/>
        </w:sectPr>
      </w:pPr>
    </w:p>
    <w:bookmarkStart w:id="58" w:name="page59"/>
    <w:bookmarkEnd w:id="58"/>
    <w:p>
      <w:pPr>
        <w:ind w:right="220"/>
        <w:spacing w:after="0" w:line="282" w:lineRule="auto"/>
        <w:rPr>
          <w:sz w:val="20"/>
          <w:szCs w:val="20"/>
          <w:color w:val="auto"/>
        </w:rPr>
      </w:pPr>
      <w:r>
        <w:rPr>
          <w:rFonts w:ascii="Times New Roman" w:cs="Times New Roman" w:eastAsia="Times New Roman" w:hAnsi="Times New Roman"/>
          <w:sz w:val="18"/>
          <w:szCs w:val="18"/>
          <w:color w:val="auto"/>
        </w:rPr>
        <w:t>competition generally has a negative impact on the volume and pricing of the affected products. Additionally, pricing is often affected by factors outside of the Company’s control.</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Third party net sales from Europe were $1.48 billion in 2014, compared to $1.43 billion in 2013, an increase of $47.1 million, or 3.3%. This increase was the result of increased volumes in France, Italy and the United Kingdom (“U.K.”) as well as new product net sales. Partially offsetting this increase was lower pricing in a number of European markets in which Mylan operates, as a result of government-imposed pricing reductions and competitive market conditions. The effect of foreign currency translation was insignificant within Europe.</w:t>
      </w:r>
    </w:p>
    <w:p>
      <w:pPr>
        <w:spacing w:after="0" w:line="180"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Local currency third party net sales from Mylan’s businesses in France, Italy and the U.K. increased compared to the prior year as a result of new product launches and higher volumes on existing products partially offset by the impact of lower pricing due to government-imposed pricing reductions and an increasingly competitive market. Our market share in France remained relatively stable in 2014 as compared to 2013, and we remain the market leader.</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France, Italy and the U.K., certain other markets in which we do business, including Spain, have undergone government-imposed price reductions, and further government-imposed price reductions are expected in the future. Such measures, along with the tender systems discussed below, are likely to have a negative impact on revenues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 number of markets in which we operate have implemented or may implement tender systems for generic pharmaceuticals in an effort to lower prices. Generally speaking, tender systems can have an unfavorable impact on revenue and profitability. Under such tender systems, manufacturers submit bids that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Additionally, the loss of a tender by a third party to whom we supply API can also have a negative impact on our sales and profitability. Sales, primarily in Germany, continue to be negatively affected by the impact of tender systems.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Rest of World, third party net sales were $1.62 billion in 2014, compared to $1.44 billion in 2013, an increase of $182.7 million, or 12.7%. Rest of World constant currency third party net sales increased by approximately $260 million, or 18%. This increase was primarily driven by higher third party net sales by our operations in India as a result of strong growth in the antiretroviral (“ARV”) franchise, as well as constant currency growth in Japan. Sales were also positively impacted by increases in net sales from new products and acquired businesses.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increase in third party net sales from our operations in India is due to significant growth in sales of finished dosage form (“FDF”) ARV products used in the treatment of HIV/AIDS. In addition to third party net sales, Rest of World region also supplies both FDF generic products and API to Mylan subsidiaries in conjunction with the Company’s vertical integration strategy. Intercompany sales recognized by Rest of World region were $714.0 million in 2014, compared to $678.3 million in the prior year. These intercompany sales eliminate within, and therefore are not included in Generics or consolidated third party net sales.</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Japan, third party net sales increased as a result of new product introductions. The Company continues to see Japan as a key region for future sales growth as the market expands. In Australia, local currency third party net sales decreased versus the prior year as a result of significant government-imposed pricing reform and reduced volumes, partially offset by new product sales. As in Europe, both Australia and Japan have undergone government-imposed price reductions which have had, and could continue to have, a negative impact on sales and gross profit in these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Segment</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current year, Specialty reported third party net sales of $1.19 billion, an increase of $205.5 million, or 20.9%, from the prior year of $981.7 million. The increase was principally the result of higher sales of the EpiPen® Auto-Injector, which is used in the treatment of severe allergic reactions (anaphylaxis), as a result of favorable pricing and increased volume. The EpiPen® Auto-Injector is the number one dispensed epinephrine auto-injector and, in 2014 it became the first Mylan product to reach $1 billion in annual net sales. The market continues to grow as awareness of the risk of anaphylaxis increases. In addition, sales of the Perforomist® Inhalation Solution increased by double digits from the prior year as a result of favorable pricing.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580"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R&amp;D expense in 2014 was $581.8 million, compared to $507.8 million in the same prior year period, an increase of $74.0 million. R&amp;D increased primarily due to the continued development of our respiratory and biologics programs as well as the timing of internal and external product development projects, including increased clinical activities, payroll and material costs. These increases were partially offset by a decline in up front licensing and milestone payments, which totaled approximately $18 million in 2014 compared to approximately $49 million in the prior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 for the current year was $1.63 billion, compared to $1.41 billion for the prior year, an increase of $217.2 million. SG&amp;A increased due to increased selling and marketing costs of approximately $52 million, primarily related to the EpiPen® Auto-Injector, which includes our direct-to-consumer marketing campaign. Additionally, as we continue to build our infrastructure in certain areas, we experienced increased employee costs of approximately $60 million and software implementation costs of approximately $13 million. To support anticipated new product launches within the North America region of the Generics segment, legal costs increased approximately $11 million during 2014. In addition the Company incurred a current year loss on the disposal of certain assets of approximately $16 million and increased costs related to acquisitions of approximately $31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Settlements, Net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2014, the Company recorded a $47.9 million net charge for litigation settlements, compared to a net gain of $14.6 million in the prior year. The charge in the current year was primarily related to the settlement of a European Commission matter of $21.7 million, the settlement of an intellectual property matter and, to a lesser extent, litigation settlements related to product liability claims. In the prior year, the Company recognized a gain related to the settlement of patent-infringement matters totaling approximately $25 million, including recoveries related to product launches. These recoveries were offset by a $10.3 million charge related to the settlement of a European Commission matter.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 Net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2014, the Company recognized a gain of $80.0 million as a result of an agreement with Strides Arcolab to settle a component of the contingent consideration related to the Agila acquisition. The gain recognized relates to the recovery of lost revenues in 2014 arising from supply disruptions that resulted from on-going quality-enhancement activities initiated at certain Agila facilities prior to the Company’s acquisition of Agila in 2013. In the prior year period, the Company recognized a charge of $3.1 million related to fair value adjustments to contingent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2014 totaled $333.2 million, compared to $313.3 million for 2013. The increase in the current year is principally due to higher average debt balances, higher interest expense related to clean energy investments and non-cash accretion of contingent consideration liabilities. Included in interest expense is non-cash interest, primarily made up of the amortization of the discounts and premiums on our convertible debt instruments and senior notes totaling $30.2 million for the current period and $28.2 million for the prior year. Also included in interest expense is accretion of our contingent consideration liability related to certain acquisitions, which was $35.3 million in the current year compared to $32.3 million in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Other expense (income), net, was expense of $44.9 million in the current year, compared to expense of $74.9 million in the prior year. Other expense (income), net includes losses from equity affiliates, foreign exchange gains and losses and interest and dividend income. In the current year, other expense (income), net included losses from equity affiliates of approximately $91 million, principally related to the Company’s clean energy investments, charges of approximately $33 million related to the redemption of the 6.000% Senior Notes due 2018 and the termination of forward starting swaps, partially offset by foreign exchange gains of approximately $78 million. In the prior year, the Company incurred charges of approximately $64 million related to the redemption of the 7.625% Senior Notes due in 2017, comprised of the redemption premium and the write-off of deferred financing fees, as well as charges of approximately $9 million in conjunction with the June 2013 Credit Agreement refinancing transaction related to the write-off of deferred financing fees.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576" w:right="2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recorded income tax expense of $41.4 million in 2014, compared to income tax expense of $120.8 million in 2013, a decrease of $79.4 million. This decrease was primarily due to the Company receiving approvals in 2014 from the relevant Indian regulatory authorities to legally merge its wholly owned subsidiaries, Agila Specialties Private Limited and Onco Therapies Limited, into Mylan Laboratories Limited. The merger resulted in the recognition of a deferred tax asset of approximately $150 million for the tax deductible goodwill in excess of the book goodwill with a corresponding benefit to income tax expense. In addition, during 2014, the Company recorded an increase in tax credits as a result of additional investments in facilities whose production is eligible for tax credits under Section 45 of the Internal Revenue Code of 1986, as amended of (the “Code”). Partially offsetting these items were increases in valuation allowances for net operating losses in foreign jurisdictions, lower net foreign tax credit benefits and additional amounts of uncertain tax positions in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Compared to 2012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 and Gross Profit</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Mylan reported total revenues of $6.91 billion compared to $6.80 billion in 2012. Total revenues include both net sales and other revenues from third parties. Third party net sales for 2013 were $6.86 billion compared to $6.75 billion for 2012, representing an increase of $106.4 million, or 1.6%. Other third party revenues for 2013 were $52.5 million compared to $45.9 million in 2012, an increase of $6.6 million.</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Mylan’s 2013 revenues were unfavorably impacted by the effect of foreign currency translation, primarily reflecting changes in the U.S. Dollar as compared to the currencies of Mylan’s subsidiaries in India, Australia and Japan. The unfavorable impact of foreign currency translation on 2013 total revenues was approximately $123 million, or 2%. As such, constant currency total revenues increased approximately $236 million, or 3%. The contribution from new product launches in 2013 of approximately $285 million was not as significant as the contribution in 2012 of approximately $922 million, a decline of approximately 69%. The North America region of the Generics segment accounted for the majority of this decline in the contribution from new product net sales in 2013 versus 2012. Offsetting the decline in new product net sales was 14% constant currency revenue growth in Rest of World region of the Generics segment and 18% constant currency revenue growth in the Specialty segment. Constant currency net sales from existing products decreased approximately $56 million. The decrease was driven by a pricing decline of approximately $377 million due to lower pricing within both Generics, partially offset by favorable pricing within Specialty. The pricing decline was partially offset by incremental volume within both Generics and Specialty, which contributed approximately $321 million to 2013 sales. The operating results of Agila were included in Mylan’s consolidated financial statements since the acquisition date, December 4, 2013, and were not material.</w:t>
      </w:r>
    </w:p>
    <w:p>
      <w:pPr>
        <w:spacing w:after="0" w:line="19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arriving at net sales, gross revenues are reduced by provisions for estimates, including discounts, rebates, promotions, price adjustments, returns and chargebacks. See the section titled </w:t>
      </w:r>
      <w:r>
        <w:rPr>
          <w:rFonts w:ascii="Times New Roman" w:cs="Times New Roman" w:eastAsia="Times New Roman" w:hAnsi="Times New Roman"/>
          <w:sz w:val="18"/>
          <w:szCs w:val="18"/>
          <w:i w:val="1"/>
          <w:iCs w:val="1"/>
          <w:color w:val="auto"/>
        </w:rPr>
        <w:t>Application of Critical Accounting Policies</w:t>
      </w:r>
      <w:r>
        <w:rPr>
          <w:rFonts w:ascii="Times New Roman" w:cs="Times New Roman" w:eastAsia="Times New Roman" w:hAnsi="Times New Roman"/>
          <w:sz w:val="18"/>
          <w:szCs w:val="18"/>
          <w:color w:val="auto"/>
        </w:rPr>
        <w:t xml:space="preserve"> in this Item 7, for a discussion of our methodology with respect to such provisions. For 2013, the most significant amounts charged against gross revenues were $2.35 billion related to chargebacks and $1.64 billion related to incentives offered to our direct customers, such as promotions and volume related incentives. For 2012, the most significant amounts charged against gross revenues were for chargebacks in the amount of $2.35 billion and incentives offered to our direct customers in the amount of $1.67 billion.</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Cost of sales for 2013 was $3.87 billion, compared to $3.89 billion in 2012. Cost of sales in 2013 was impacted by the amortization of acquired intangible assets, and restructuring and other special items as described further in the section titled “Use of Non-GAAP Financial Measures.” These items totaled approximately $423.8 million in 2013. Cost of sales for 2012 included similar purchase accounting and restructuring and other special items in the amount of $456.8 million. The decrease in 2013 of purchase accounting and restructuring and other special items was principally the result of a $41.6 million in-process research and development (“IPR&amp;D”) impairment charge in 2012 as compared to an impairment charge of $18.0 million in 2013. Excluding these amounts, Adjusted Cost of Sales increased in 2013 to $3.45 billion from $3.43 billion, corresponding to the increase in sales.</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Gross profit for 2013 was $3.04 billion and gross margins were 44.0%. For 2012, gross profit was $2.91 billion, and gross margins were 42.8%. Excluding the purchase accounting, restructuring and other special items discussed in the paragraph above, Adjusted Gross Margins were approximately 50% in both 2013 and 2012. Gross margins were favorably impacted in 2013 as a result of new product introductions by approximately 130 basis points and favorable pricing and volume on EpiPen® Auto-Injector in our Specialty segment by approximately 70 basis points. These increases were almost entirely offset by lower pricing on existing products within the Generics segment.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792" w:right="259" w:bottom="1440" w:gutter="0" w:footer="0" w:header="0"/>
        </w:sectPr>
      </w:pPr>
    </w:p>
    <w:bookmarkStart w:id="61" w:name="page62"/>
    <w:bookmarkEnd w:id="61"/>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launches and the amount, if any, of additional competition in the market. Our top ten products in terms of sales, in the aggregate, represented approximately 31% and 28% of total revenues in 2013 and 2012,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Generics Segment</w:t>
      </w:r>
    </w:p>
    <w:p>
      <w:pPr>
        <w:spacing w:after="0" w:line="22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For 2013, Generics third party net sales were $5.87 billion compared to $5.91 billion in 2012, a decrease of $40.0 million, or 0.7%. Generics constant currency third party net sales for 2013 increased by approximately $83 million, or 1%.</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Third party net sales from North America were $3.01 billion for 2013, compared to $3.23 billion for 2012, representing a decrease of $218.8 million, or 6.8%. The decrease in 2013 third party net sales was due to a greater amount of net sales from new product launches in 2012 versus 2013. Third party net sales from new product launches totaled approximately $198 million in 2013, compared to $784 million in 2012, a decrease of approximately 75%. The effect of foreign currency translation was insignificant within North America.</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Products generally contribute most significantly to revenues and gross margins at the time of their launch, even more so in periods of market exclusivity, or in periods of limited generic competition. As such, the timing of new product introductions can have a significant impact on Mylan’s financial results. The entrance into the market of additional competition generally has a negative impact on the volume and pricing of the affected products. Additionally, pricing is often affected by factors outside of the Company’s control.</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 party net sales from Europe were $1.43 billion in 2013, compared to $1.30 billion in 2012, an increase of $132.1 million, or 10.2%. Constant currency third party net sales from Europe in 2013 resulted in a year-over-year increase of approximately $98 million, or 8%. This increase was the result of a double-digit increase in constant currency third party net sales in France and Italy as a result of net sales from new products and favorable volumes. Partially offsetting this increase was lower pricing in a number of European markets in which Mylan operates, as a result of government imposed pricing reductions and competitive market conditions.</w:t>
      </w:r>
    </w:p>
    <w:p>
      <w:pPr>
        <w:spacing w:after="0" w:line="184"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Local currency third party net sales from Mylan’s businesses in France and Italy increased in 2013 as compared to 2012 as a result of new product launches and higher volumes on existing products partially offset by the impact of lower pricing due to government-imposed pricing reductions and an increasingly competitive market. Our market share in France remained relatively stable in 2013 as compared to 2012, and we remain the market leader.</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U.K., local currency third party net sales increased by double digits in 2013 versus 2012 as a result of favorable pricing on existing products combined with new product introductions.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to France and Italy, certain other markets in which we do business, including Spain, have undergone government-imposed price reductions, and further government-imposed price reductions are expected in the future. Such measures, along with the tender systems discussed below, are likely to have a negative impact on net sales and gross profit in these markets. However, government initiatives in certain markets that appear to favor generic products could help to mitigate this unfavorable effect by potentially increasing rates of generic substitution and penetration.</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number of markets in which we operate have implemented tender systems for generic pharmaceuticals in an effort to lower prices. Generally speaking, tender systems can have an unfavorable impact on revenue and profitability.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Additionally, the loss of a tender by a third party to whom we supply API can also have a negative impact on our sales and profitability. Sales, primarily in Germany, continue to be negatively affected by the impact of tender systems.</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Rest of World, third party net sales were $1.44 billion in 2013, compared to $1.39 billion in 2012, an increase of $46.7 million, or 3.4%. Rest of World constant currency third party net sales would have increased by approximately $200 million, or 14%. This increase was primarily driven by higher third party net sales by our operations in India, particularly in the ARV franchise, as well as double digit constant currency growth in Japan.</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third party net sales from our operations in India was due to significant growth in sales of ARV products used in the treatment of HIV/AIDS, both as FDF generic products and API. In addition to third party net sales, Rest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797" w:right="259" w:bottom="1440" w:gutter="0" w:footer="0" w:header="0"/>
        </w:sectPr>
      </w:pPr>
    </w:p>
    <w:bookmarkStart w:id="62" w:name="page63"/>
    <w:bookmarkEnd w:id="6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World region also supplied both FDF generic products and API to Mylan subsidiaries in conjunction with Mylan’s vertical integration strategy. Intercompany sales recognized by Rest of World region were $678.3 million in 2013, compared to $595.6 million in 2012. These intercompany sales eliminate within, and therefore are not included in, Generics or consolidated net sales.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Japan, third party net sales increased by double digits as a result of higher volumes and new product introductions. In Australia, local currency third party net sales were slightly lower in 2013 than 2012 as a result of significant government-imposed pricing reform, partially offset by new product sales and incremental volumes on existing products. As in Europe, both Australia and Japan have undergone government-imposed price reductions which have had a negative impact on sales and gross profit in these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Segment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2013, Specialty reported third party net sales of $981.7 million, an increase of $146.3 million, or 17.6%, from third party net sales in 2012 of $835.4 million. The increase was principally the result of higher sales of the EpiPen® Auto-Injector, which is used in the treatment of severe allergic reactions (anaphylaxis), as a result of favorable pricing and increased volumes. The EpiPen® Auto-Injector is the number one dispensed epinephrine auto-injector. The market continues to grow as awareness of the risk of anaphylaxis increases. In addition, sales of the Perforomist® Inhalation Solution increased by double digits from 2012 as a result of favorable pricing.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R&amp;D expense in 2013 was $507.8 million, compared to $401.3 million in 2012, an increase of $106.5 million. R&amp;D increased in 2013 primarily due to the expenses related to the development of our respiratory and biologics programs as well as the timing of internal and external product development projects. In addition, during 2013 the Company incurred up front licensing and milestone payments of approximately $49.4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SG&amp;A expense for 2013 was $1.41 billion, compared to $1.39 billion for 2012, an increase of $16.1 million. Primary factors contributing to the increase in SG&amp;A include an increase in certain payroll and related employee benefit costs of approximately $42 million as we continue to build out our infrastructure in certain areas and costs related to acquisitions of approximately $37 million. These items were partially offset by lower sales and marketing costs in Japan of approximately $29 million, as a result of the collaboration with Pfizer Japan Inc. (“Pfizer Japan”) and lower marketing and advertising related costs within our Specialty segment of approximately $14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Settlements, Net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2013, the Company recorded a $14.6 million net gain for litigation settlements, compared to a net gain of $3.1 million during 2012. The net gain in litigation settlements in 2013 was principally related to recoveries of lost profits in patent-infringement matters totaling approximately $25 million, including recoveries related to product launches. These recoveries were partially offset by a $10.3 million charge related to a European Commission matter. In 2012, the Company recorded a $3.1 million net gain comprised of gains of approximately $34 million for the favorable resolution of patent infringement matters, partially offset by an approximate $20 million charge related to pricing litigation matters and other patent infringement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 Net</w:t>
      </w:r>
    </w:p>
    <w:p>
      <w:pPr>
        <w:spacing w:after="0" w:line="22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2013, the Company recognized a charge of $3.1 million related to fair value adjustments to contingent consideration. In 2012, the Company recognized a charge of $8.3 million related to fair value adjustments to contingent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2013 totaled $313.3 million, compared to $308.7 million for 2012. The increase in 2013 was primarily due to higher interest expense related to clean energy investments and non-cash accretion of contingent consideration liabilities. Included in interest expense is the amortization of discounts and premiums on our convertible debt instruments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0" w:right="239" w:bottom="1440" w:gutter="0" w:footer="0" w:header="0"/>
        </w:sectPr>
      </w:pPr>
    </w:p>
    <w:bookmarkStart w:id="63" w:name="page64"/>
    <w:bookmarkEnd w:id="63"/>
    <w:p>
      <w:pPr>
        <w:ind w:right="60"/>
        <w:spacing w:after="0" w:line="282" w:lineRule="auto"/>
        <w:rPr>
          <w:sz w:val="20"/>
          <w:szCs w:val="20"/>
          <w:color w:val="auto"/>
        </w:rPr>
      </w:pPr>
      <w:r>
        <w:rPr>
          <w:rFonts w:ascii="Times New Roman" w:cs="Times New Roman" w:eastAsia="Times New Roman" w:hAnsi="Times New Roman"/>
          <w:sz w:val="18"/>
          <w:szCs w:val="18"/>
          <w:color w:val="auto"/>
        </w:rPr>
        <w:t>senior notes, which totaled $28.2 million in 2013 and $29.4 million in 2012. Also included in interest expense for 2013 was $32.3 million of accretion of our contingent consideration liability compared to $30.7 million in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(income), net, was expense of $74.9 million in 2013 compared to income of $3.5 million in 2012. Other expense (income), net in 2013 included charges of approximately $63.9 million related to the redemption of the 7.625% Senior Notes due 2017, comprised of the redemption premium and the write-off of deferred financing fees. In addition, the Company incurred charges of approximately $8.7 million related to the write-off of deferred financing fees in conjunction with the refinancing of the senior credit facility. Also included are losses from equity affiliates, foreign exchange transaction gains and losses and interest and dividend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$120.8 million in 2013 compared to income tax expense of $161.2 million in 2012, a decrease of $40.4 million. This decrease was primarily due to a lower pre-tax income; an increase in business tax credits as a result of additional investments made during the year in facilities whose production is eligible for credits under Section 45 of the Code; a reduction in income subject to tax in the U.S.; and the retroactive effect of federal tax legislation enacted in January 2013. Partially offsetting these items were increases in valuation allowances for net operating losses in foreign jurisdictions, lower net foreign tax credit benefits and lower releases and settlements of uncertain tax positions in 2013. Also affecting the Company’s changes to its tax provision were higher levels of income earned in jurisdictions with tax rates below the U.S.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Whenever the Company uses non-GAAP financial measures, it will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set forth below and should consider non-GAAP measures only as a supplement to, not as a substitute for or as a superior measure to, measures of financial performance prepared in accordance with U.S. GAAP. Additionally, since these are not measures determined in accordance with U.S. GAAP, they have no standardized meaning prescribed by U.S. GAAP and, therefore, may not be comparable to the calculation of similar measures of other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“Adjusted Gross Margin.” We believe that these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principal items excluded from Adjusted Cost of Sales include acquisition related items and restructuring and other special items, both of which are described in greater detail below.</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580" w:right="27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periods shown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4,191.6</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3,887.8</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Deduct: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accounting related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43"/>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&amp; other special items</w:t>
            </w:r>
          </w:p>
        </w:tc>
        <w:tc>
          <w:tcPr>
            <w:tcW w:w="3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cost of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3,674.3</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3,445.0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3,431.0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4,045.3</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3,464.1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3,365.1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5"/>
                <w:szCs w:val="25"/>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480" w:hanging="652"/>
        <w:spacing w:after="0" w:line="218" w:lineRule="auto"/>
        <w:tabs>
          <w:tab w:leader="none" w:pos="6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Earnings and Adjusted EPS</w:t>
      </w:r>
    </w:p>
    <w:p>
      <w:pPr>
        <w:spacing w:after="0" w:line="229" w:lineRule="exact"/>
        <w:rPr>
          <w:sz w:val="20"/>
          <w:szCs w:val="20"/>
          <w:color w:val="auto"/>
        </w:rPr>
      </w:pPr>
    </w:p>
    <w:p>
      <w:pPr>
        <w:jc w:val="both"/>
        <w:ind w:right="200" w:firstLine="648"/>
        <w:spacing w:after="0" w:line="272" w:lineRule="auto"/>
        <w:rPr>
          <w:sz w:val="20"/>
          <w:szCs w:val="20"/>
          <w:color w:val="auto"/>
        </w:rPr>
      </w:pPr>
      <w:r>
        <w:rPr>
          <w:rFonts w:ascii="Times New Roman" w:cs="Times New Roman" w:eastAsia="Times New Roman" w:hAnsi="Times New Roman"/>
          <w:sz w:val="17"/>
          <w:szCs w:val="17"/>
          <w:color w:val="auto"/>
        </w:rPr>
        <w:t>Adjusted Earnings is a non-GAAP financial measure and provides an alternative view of performance used by management. Management believes that, primarily due to acquisitions, an evaluation of the Company’s ongoing operations (and comparisons of its current operations with historical and future operations) would be difficult if the disclosure of its financial results were limited to financial measures prepared only in accordance with U.S. GAAP.</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Earnings and Adjusted Earnings per Diluted Share (“Adjusted EPS”) are two of the most important internal financial metrics related to the ongoing operating performance of the Company, and management also believes that investors’ understanding of our performance is enhanced by these adjusted measures. Actual internal and forecasted operating results and annual budgets include Adjusted Earnings and Adjusted EPS, and the financial performance of the Company is measured by senior management on this basis along with other performance metrics. Management’s annual incentive compensation is derived in part based on the Adjusted EPS metric.</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Earnings and Adjusted EPS include: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Items</w:t>
      </w:r>
    </w:p>
    <w:p>
      <w:pPr>
        <w:spacing w:after="0" w:line="22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ongoing impact of certain amounts recorded in connection with acquisitions is excluded from Adjusted Cost of Sales, Adjusted Earnings and Adjusted EPS. These amounts include the amortization of intangible assets and inventory step-up, intangible asset impairment charges (including IPR&amp;D), accretion and the fair value adjustments related to contingent consideration and certain acquisition financing related costs. These costs are excluded because management believes that excluding them is helpful to understanding the underlying, ongoing operational performance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Special Items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Costs related to restructuring and other actions are excluded from Adjusted Cost of Sales, Adjusted Earnings and Adjusted EPS, as applicable. These amounts include items such as:</w:t>
      </w:r>
    </w:p>
    <w:p>
      <w:pPr>
        <w:spacing w:after="0" w:line="162" w:lineRule="exact"/>
        <w:rPr>
          <w:sz w:val="20"/>
          <w:szCs w:val="20"/>
          <w:color w:val="auto"/>
        </w:rPr>
      </w:pPr>
    </w:p>
    <w:p>
      <w:pPr>
        <w:ind w:left="1140" w:right="900" w:hanging="322"/>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associated with facilities to be closed or divested, including employee separation costs, impairment charges, accelerated depreciation, incremental manufacturing variances, equipment relocation costs and other exit costs;</w:t>
      </w:r>
    </w:p>
    <w:p>
      <w:pPr>
        <w:spacing w:after="0" w:line="161" w:lineRule="exact"/>
        <w:rPr>
          <w:rFonts w:ascii="Times New Roman" w:cs="Times New Roman" w:eastAsia="Times New Roman" w:hAnsi="Times New Roman"/>
          <w:sz w:val="18"/>
          <w:szCs w:val="18"/>
          <w:color w:val="auto"/>
        </w:rPr>
      </w:pPr>
    </w:p>
    <w:p>
      <w:pPr>
        <w:ind w:left="1140" w:right="400" w:hanging="322"/>
        <w:spacing w:after="0" w:line="313"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acquisition related integration costs, as well as other costs associated with acquisitions and other business transformation and/or optimization initiatives, which are not part of a formal restructuring program, including employee separation and post-employment costs;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80" w:right="239" w:bottom="1440" w:gutter="0" w:footer="0" w:header="0"/>
        </w:sectPr>
      </w:pPr>
    </w:p>
    <w:bookmarkStart w:id="65" w:name="page66"/>
    <w:bookmarkEnd w:id="65"/>
    <w:p>
      <w:pPr>
        <w:ind w:left="1140" w:hanging="322"/>
        <w:spacing w:after="0" w:line="313"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transition and other costs associated with the ratification of a new collective bargaining agreement in 2012 governing certain employees at our Morgantown, West Virginia manufacturing facility, including the withdrawal obligation from a multi-employer pension plan;</w:t>
      </w:r>
    </w:p>
    <w:p>
      <w:pPr>
        <w:spacing w:after="0" w:line="138" w:lineRule="exact"/>
        <w:rPr>
          <w:rFonts w:ascii="Times New Roman" w:cs="Times New Roman" w:eastAsia="Times New Roman" w:hAnsi="Times New Roman"/>
          <w:sz w:val="17"/>
          <w:szCs w:val="17"/>
          <w:color w:val="auto"/>
        </w:rPr>
      </w:pPr>
    </w:p>
    <w:p>
      <w:pPr>
        <w:ind w:left="1140" w:right="160" w:hanging="32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pre-tax loss of the Company’s investments in clean energy investments, whose activities qualify for income tax credits under Section 45 of the Code; only included in Adjusted Earnings and Adjusted EPS is the net tax effect of the entity’s activities;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 and</w:t>
      </w:r>
    </w:p>
    <w:p>
      <w:pPr>
        <w:spacing w:after="0" w:line="225"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new operations and significant alliances/business partnerships, including certain upfront and/or milestone research and development related payments.</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Earnings and Adjusted EPS because it believes it is helpful to understanding the underlying, ongoing operational performance of the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Charges and gains related to legal matters, such as those discussed in the Notes to Consolidated Financial Statements — Note 14, “Contingencies” are generally excluded from Adjusted Earnings and Adjusted EPS. Normal, ongoing defense costs of the Company made in the normal course of our business are not excluded.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Earnings and Adjusted EPS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net earnings attributable to Mylan Inc. common shareholders and diluted earnings per share attributable to Mylan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shareholders, as reported under U.S. GAAP, and Adjusted Earnings and Adjusted EPS for the periods shown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net earnings attributable to Mylan Inc. and GAAP 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5"/>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accounting related amortization (primarily included in cost of</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38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 xml:space="preserve">sales)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primarily amortization of convertible debt discount</w:t>
            </w: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accretion and fair value adjustments of contingent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consideration liability</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Clean energy investment subsidiary pre-tax loss </w:t>
            </w:r>
            <w:r>
              <w:rPr>
                <w:rFonts w:ascii="Times New Roman" w:cs="Times New Roman" w:eastAsia="Times New Roman" w:hAnsi="Times New Roman"/>
                <w:sz w:val="25"/>
                <w:szCs w:val="25"/>
                <w:color w:val="auto"/>
                <w:vertAlign w:val="superscript"/>
              </w:rPr>
              <w:t>(b)</w:t>
            </w:r>
          </w:p>
        </w:tc>
        <w:tc>
          <w:tcPr>
            <w:tcW w:w="26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related costs (included in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(primarily included in cost of sales and selling,</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special items included in: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Tax effect of the above items and other income tax related items </w:t>
            </w:r>
            <w:r>
              <w:rPr>
                <w:rFonts w:ascii="Times New Roman" w:cs="Times New Roman" w:eastAsia="Times New Roman" w:hAnsi="Times New Roman"/>
                <w:sz w:val="25"/>
                <w:szCs w:val="25"/>
                <w:color w:val="auto"/>
                <w:vertAlign w:val="superscript"/>
              </w:rPr>
              <w:t>(c)</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5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net earnings attributable to Mylan Inc. and adjusted diluted EPS $</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right="440" w:hanging="1292"/>
        <w:spacing w:after="0" w:line="218" w:lineRule="auto"/>
        <w:tabs>
          <w:tab w:leader="none" w:pos="652"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accounting related amortization expense for the years ended December 31, 2014, 2013 and 2012 includes intangible asset impairment charges of $27.7 million, $18.0 million and $41.6 million, respectively.</w:t>
      </w:r>
    </w:p>
    <w:p>
      <w:pPr>
        <w:spacing w:after="0" w:line="145" w:lineRule="exact"/>
        <w:rPr>
          <w:rFonts w:ascii="Times New Roman" w:cs="Times New Roman" w:eastAsia="Times New Roman" w:hAnsi="Times New Roman"/>
          <w:sz w:val="25"/>
          <w:szCs w:val="25"/>
          <w:color w:val="auto"/>
          <w:vertAlign w:val="superscript"/>
        </w:rPr>
      </w:pPr>
    </w:p>
    <w:p>
      <w:pPr>
        <w:ind w:left="1300" w:right="20" w:hanging="1292"/>
        <w:spacing w:after="0" w:line="218" w:lineRule="auto"/>
        <w:tabs>
          <w:tab w:leader="none" w:pos="652"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represents exclusion of the pre-tax loss related to Mylan's clean energy investments, the activities of which qualify for income tax credits under Section 45 of the Code. Amount is included in other expense (income), net.</w:t>
      </w:r>
    </w:p>
    <w:p>
      <w:pPr>
        <w:spacing w:after="0" w:line="91" w:lineRule="exact"/>
        <w:rPr>
          <w:rFonts w:ascii="Times New Roman" w:cs="Times New Roman" w:eastAsia="Times New Roman" w:hAnsi="Times New Roman"/>
          <w:sz w:val="25"/>
          <w:szCs w:val="25"/>
          <w:color w:val="auto"/>
          <w:vertAlign w:val="superscript"/>
        </w:rPr>
      </w:pPr>
    </w:p>
    <w:p>
      <w:pPr>
        <w:ind w:left="1300" w:right="200" w:hanging="1292"/>
        <w:spacing w:after="0" w:line="228" w:lineRule="auto"/>
        <w:tabs>
          <w:tab w:leader="none" w:pos="652"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Adjustment for other income tax related items includes the exclusion from Adjusted Net Earnings of the tax benefit of approximately $150 million related to the merger of the Company’s wholly owned subsidiaries, Agila Specialties Private Limited and Onco Therapies Limited, into Mylan Laboratories Limited for the year ended December 31, 2014.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cash provided by operations, which was $1.01 billion for the year ended December 31, 2014. We believe that cash provided by operating activities and available liquidity will continue to allow us to meet our needs for working capital, capital expenditures, interest and principal payments on debt obligations and other cash needs over the next several years.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by $91.8 million to $1.01 billion for the year ended December 31, 2014, as compared to $1.11 billion for the year ended December 31, 2013. The net decrease in cash provided by operating activities was principally due to the following: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792" w:right="239" w:bottom="1440" w:gutter="0" w:footer="0" w:header="0"/>
        </w:sectPr>
      </w:pPr>
    </w:p>
    <w:bookmarkStart w:id="67" w:name="page68"/>
    <w:bookmarkEnd w:id="67"/>
    <w:p>
      <w:pPr>
        <w:jc w:val="both"/>
        <w:ind w:left="1140" w:right="240" w:hanging="322"/>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amount of cash used for other operating assets and liabilities, net of $259.1 million, principally due to an increase in cash paid for accrued litigation settlements of $66.6 million as well as an increase in cash paid related to the settlement of derivative and foreign exchange contracts;</w:t>
      </w:r>
    </w:p>
    <w:p>
      <w:pPr>
        <w:spacing w:after="0" w:line="176" w:lineRule="exact"/>
        <w:rPr>
          <w:rFonts w:ascii="Times New Roman" w:cs="Times New Roman" w:eastAsia="Times New Roman" w:hAnsi="Times New Roman"/>
          <w:sz w:val="18"/>
          <w:szCs w:val="18"/>
          <w:color w:val="auto"/>
        </w:rPr>
      </w:pPr>
    </w:p>
    <w:p>
      <w:pPr>
        <w:ind w:left="1140" w:right="660" w:hanging="322"/>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the amount of cash provided by changes in trade accounts payable of $137.5 million as a result of the timing of cash disbursements;</w:t>
      </w:r>
    </w:p>
    <w:p>
      <w:pPr>
        <w:spacing w:after="0" w:line="161" w:lineRule="exact"/>
        <w:rPr>
          <w:rFonts w:ascii="Times New Roman" w:cs="Times New Roman" w:eastAsia="Times New Roman" w:hAnsi="Times New Roman"/>
          <w:sz w:val="18"/>
          <w:szCs w:val="18"/>
          <w:color w:val="auto"/>
        </w:rPr>
      </w:pPr>
    </w:p>
    <w:p>
      <w:pPr>
        <w:ind w:left="1140" w:right="80" w:hanging="322"/>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used for accounts receivable, including estimated sales allowances, of $23.5 million reflecting the timing of sales, cash collections and disbursements related to sales allowances;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used through changes in deferred income taxes of $228.1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were offset by the following:</w:t>
      </w:r>
    </w:p>
    <w:p>
      <w:pPr>
        <w:spacing w:after="0" w:line="225" w:lineRule="exact"/>
        <w:rPr>
          <w:sz w:val="20"/>
          <w:szCs w:val="20"/>
          <w:color w:val="auto"/>
        </w:rPr>
      </w:pPr>
    </w:p>
    <w:p>
      <w:pPr>
        <w:ind w:left="1140" w:right="40" w:hanging="322"/>
        <w:spacing w:after="0" w:line="26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earnings of $306.6 million, which includes a net increase of $160.4 million in the amount of non-cash expenses, principally as a result of increased depreciation and amortization as a result of prior year acquisitions, increased losses from equity method investments and a number of other non-cash charges including stock compensation, restructuring charges and the accretion of the contingent consideration liabilities; and</w:t>
      </w:r>
    </w:p>
    <w:p>
      <w:pPr>
        <w:spacing w:after="0" w:line="180" w:lineRule="exact"/>
        <w:rPr>
          <w:rFonts w:ascii="Times New Roman" w:cs="Times New Roman" w:eastAsia="Times New Roman" w:hAnsi="Times New Roman"/>
          <w:sz w:val="18"/>
          <w:szCs w:val="18"/>
          <w:color w:val="auto"/>
        </w:rPr>
      </w:pPr>
    </w:p>
    <w:p>
      <w:pPr>
        <w:ind w:left="1140" w:right="220" w:hanging="322"/>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provided by changes in income taxes of $79.6 million as a result of the level of estimated tax payments made during the current year.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by $157.6 million to $1.11 billion for the year ended December 31, 2013 as compared to $949.0 million for the year ended December 31, 2012. The net increase in cash provided by operating activities was principally due to the following:</w:t>
      </w:r>
    </w:p>
    <w:p>
      <w:pPr>
        <w:spacing w:after="0" w:line="162" w:lineRule="exact"/>
        <w:rPr>
          <w:sz w:val="20"/>
          <w:szCs w:val="20"/>
          <w:color w:val="auto"/>
        </w:rPr>
      </w:pPr>
    </w:p>
    <w:p>
      <w:pPr>
        <w:ind w:left="1140" w:right="140" w:hanging="322"/>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cash provided through changes in legal and professional accruals of $135.0 million, primarily as a result of a higher amount of litigation payments in 2012;</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cash of $25.0 million for cash collected from litigation settlements;</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the amount of cash used through changes in income taxes of $48.9 million as a result of the level of estimated tax payments made in 2013;</w:t>
      </w:r>
    </w:p>
    <w:p>
      <w:pPr>
        <w:spacing w:after="0" w:line="161" w:lineRule="exact"/>
        <w:rPr>
          <w:rFonts w:ascii="Times New Roman" w:cs="Times New Roman" w:eastAsia="Times New Roman" w:hAnsi="Times New Roman"/>
          <w:sz w:val="18"/>
          <w:szCs w:val="18"/>
          <w:color w:val="auto"/>
        </w:rPr>
      </w:pPr>
    </w:p>
    <w:p>
      <w:pPr>
        <w:ind w:left="1140" w:right="780" w:hanging="322"/>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provided by changes in trade accounts payable of $55.8 million as a result of the timing of cash disbursements; and</w:t>
      </w:r>
    </w:p>
    <w:p>
      <w:pPr>
        <w:spacing w:after="0" w:line="161" w:lineRule="exact"/>
        <w:rPr>
          <w:rFonts w:ascii="Times New Roman" w:cs="Times New Roman" w:eastAsia="Times New Roman" w:hAnsi="Times New Roman"/>
          <w:sz w:val="18"/>
          <w:szCs w:val="18"/>
          <w:color w:val="auto"/>
        </w:rPr>
      </w:pPr>
    </w:p>
    <w:p>
      <w:pPr>
        <w:ind w:left="1140" w:right="40" w:hanging="322"/>
        <w:spacing w:after="0" w:line="258"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$14.9 million in the amount of cash used through changes in inventory balances. The decrease in cash utilized for inventory in 2013 (as compared to 2012) reflects a lower level of increases in raw material, work in process and finished goods inventories as compared to the prior year. The higher prior year investment was primarily due to an inventory build in late 2012 in anticipation of additional manufacturing capacity in India that came on-line in early 2013. Nevertheless, we continued to invest in inventory in 2013 primarily to support anticipated volume growth as a result of projected increases in generic utilization, particularly in certain European markets.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were partially offset by the following:</w:t>
      </w:r>
    </w:p>
    <w:p>
      <w:pPr>
        <w:spacing w:after="0" w:line="225" w:lineRule="exact"/>
        <w:rPr>
          <w:sz w:val="20"/>
          <w:szCs w:val="20"/>
          <w:color w:val="auto"/>
        </w:rPr>
      </w:pPr>
    </w:p>
    <w:p>
      <w:pPr>
        <w:ind w:left="1140" w:right="860" w:hanging="322"/>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earnings of $16.5 million, combined with a net decrease in the amount of non-cash expenses for depreciation and amortization totaling $30.6 million as a result of higher 2012 IPR&amp;D impairment charges;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used for accounts receivable, including estimated sales allowances, of $118.4 million reflecting the timing of sales, cash collections and disbursements related to sales allowances; and</w:t>
      </w:r>
    </w:p>
    <w:p>
      <w:pPr>
        <w:spacing w:after="0" w:line="161"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2013, the Company redeemed its 7.625% Senior Notes due 2017 for a total of $608.8 million, including a $58.8 million redemption premium that is included as an outflow in cash from operating activities.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580" w:right="259" w:bottom="1440" w:gutter="0" w:footer="0" w:header="0"/>
        </w:sectPr>
      </w:pPr>
    </w:p>
    <w:bookmarkStart w:id="68" w:name="page69"/>
    <w:bookmarkEnd w:id="68"/>
    <w:p>
      <w:pPr>
        <w:ind w:firstLine="648"/>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was $800.3 million for the year ended December 31, 2014, as compared to cash used in investing activities of $1.87 billion for the year ended December 31, 2013, a decrease of $1.07 billion. The decrease in cash used in investing activities was principally the result of cash paid for acquisitions in 2013 totaling $1.3 billion primarily related to the Agila acquisition, as compared to $50.0 million in the current year. In 2014, payments for product rights and other investing activities, net, totaled $429.1 million for the year ended December 31, 2014, as compared to $60.9 million in the prior year period. The increase was the result of the acquisition of certain commercialization rights in the U.S. and other countries in the current year. Cash paid for acquisitions was $50.0 million in 2014. Capital expenditures, primarily for equipment and facilities, were approximately $325.3 million in the current year, as compared to $334.6 million in the comparable prior year. The decrease as compared to 2013 is the result of the timing of expenditures. While there can be no assurance that current expectations will be realized, we expect to continue to invest in our future growth and expect capital expenditures for 2015 to be between $400 million and $500 million. In addition, during 2013, restricted cash increased $228.0 million, principally related to amounts deposited in escrow, or other restricted accounts, for potential contingent consideration payments related to the Agila acquisition.</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$267.4 million for the year ended December 31, 2014, as compared to cash provided by financing activities of $692.9 million for the year ended December 31, 2013, a net change of $960.3 million. During 2014, the Company entered into a New Senior Term Credit Agreement with a syndicate of banks which provided an $800 million 2014 Term Loan. The proceeds of the 2014 Term Loan were used for working capital expenditures and to repay outstanding borrowings under the Company’s June 2013 Credit Agreement. Borrowings under the June 2013 Credit Agreement were used to fund the redemption of the November 2018 Senior Notes.</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During 2014, net repayments under our Revolving Facility totaled $60 million. The Company repaid approximately $107.8 million of short-term borrowings under our Receivables Facility and the working capital facilities in India. The Company also paid $150.0 million of contingent consideration to Strides Arcolab related to the Agila acquisition during the third quarter of 2014.</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2014, the Company did not repurchase any shares of common stock. During 2013, the Company repurchased approximately 28.5 million shares of common stock for aggregate consideration of approximately $1.0 billion.</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next significant debt maturity is in the third quarter of 2015, and our current intention is to refinance either through future debt offerings or borrowings under the New Revolving Facility. In addition, our cash and cash equivalents at our foreign operations totaled $110 million at December 31, 2014. The majority of these funds represented earnings considered to be permanently reinvested to support the growth strategies of our foreign subsidiaries. The Company anticipates having sufficient U.S. liquidity, including existing borrowing capacity and cash to be generated from operations, to fund foreseeable U.S. cash needs without requiring the repatriation of foreign cash. If these funds are needed for the Company’s operations in the U.S., the Company may be required to accrue and pay U.S. taxes to repatriate these funds.</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2014, because the closing price of our common stock for at least 20 trading days in the period of 30 consecutive trading days ending on the last trading day in the December 31, 2014 period was more than 130% of the applicable conversion reference price of $13.32 at December 31, 2014, the $573.1 million of Cash Convertible Notes were currently convertible. Although de minimis conversions have been requested, the Company’s experience is that convertible debentures are not normally converted by investors until close to their maturity date. Upon an investor’s election to convert, the Company is required to pay the full conversion value in cash. Should holders elect to convert, the Company intends to draw on its New Revolving Facility to fund any principal payments. The amount payable per $1,000 notional bond would be calculated as the product of (1) the conversion reference rate (currently 75.0751) and (2) the average Daily Volume Weighted Average Price per share of common stock for a specified period following the conversion date. Any payment above the principal amount is matched by a convertible note hedge.</w:t>
      </w:r>
    </w:p>
    <w:p>
      <w:pPr>
        <w:spacing w:after="0" w:line="18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Transaction, we and New Mylan executed a supplemental indenture that amended the indenture governing the Cash Convertible Notes so that, among other things, all relevant determinations for purposes of the cash conversion rights to which holders may be entitled from time-to-time in accordance with such indenture shall be made by reference to the New Mylan ordinary shares.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that are considered normal to our business. While it is not possible to predict the outcome of such proceedings, an adverse outcome in any of these proceedings could materially affect our financial position and results of operations, including our operating cash flow and could cause the market value of our stock to decline. We have approximately $40 million accrued for such legal contingencies. For certain contingencies assumed in conjunction with the acquisition of the former Merck Generics business, Merck KGaA, the seller, has indemnified Mylan. We have also been indemnified for certain contingencies by Strides Arcolab related to our acquisition of Agila. The inability or denial of</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60"/>
          </w:cols>
          <w:pgMar w:left="240" w:top="580" w:right="299" w:bottom="1440" w:gutter="0" w:footer="0" w:header="0"/>
        </w:sectPr>
      </w:pPr>
    </w:p>
    <w:bookmarkStart w:id="69" w:name="page70"/>
    <w:bookmarkEnd w:id="69"/>
    <w:p>
      <w:pPr>
        <w:ind w:right="80"/>
        <w:spacing w:after="0" w:line="282" w:lineRule="auto"/>
        <w:rPr>
          <w:sz w:val="20"/>
          <w:szCs w:val="20"/>
          <w:color w:val="auto"/>
        </w:rPr>
      </w:pPr>
      <w:r>
        <w:rPr>
          <w:rFonts w:ascii="Times New Roman" w:cs="Times New Roman" w:eastAsia="Times New Roman" w:hAnsi="Times New Roman"/>
          <w:sz w:val="18"/>
          <w:szCs w:val="18"/>
          <w:color w:val="auto"/>
        </w:rPr>
        <w:t>Merck KGaA, Strides Arcolab or another indemnitor or insurer to pay on an indemnified claim could have a material adverse effect on our financial position, results of operations or cash flows, and could cause the market value of our stock to decline.</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 evaluation of potential divestitures of products and businesses as part of our future strategy. Any divestitures could impact future liquidity.</w:t>
      </w:r>
    </w:p>
    <w:p>
      <w:pPr>
        <w:spacing w:after="0" w:line="18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7"/>
          <w:szCs w:val="17"/>
          <w:color w:val="auto"/>
        </w:rPr>
        <w:t>At December 31, 2014 and 2013, we had $43.7 million and $53.2 million outstanding under existing letters of credit, respectively. Additionally, as of December 31, 2014, we had $144.9 million available under the $150.0 million subfacility on our New Revolving Facility for the issuance of letters of credit.</w:t>
      </w:r>
    </w:p>
    <w:p>
      <w:pPr>
        <w:spacing w:after="0" w:line="138"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outstanding long term debt at December 31, 2014, excluding the discounts, premium and conversion features, are as follows for each of the periods ending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10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10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2,750</w:t>
            </w:r>
          </w:p>
        </w:tc>
      </w:tr>
      <w:tr>
        <w:trPr>
          <w:trHeight w:val="27"/>
        </w:trPr>
        <w:tc>
          <w:tcPr>
            <w:tcW w:w="10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December 2014, the Company entered into the $1.5 billion New Revolving Facility, which expires in December 19, 2019. The New Revolving Facility includes a $150 million subfacility for the issuance of letters of credit and a $125 million subfacility for swingline borrowings. The interest rate on borrowings under the New Revolving Facility at December 31, 2014 was LIBOR plus 1.325% per annum. The New Revolving Facility has a facility fee which is 0.175%. At December 31, 2014, the Company had no amounts outstanding under the New Revolving Facility. In December 2014, in connection with its entry into the New Revolving Facility, the Company terminated the June 2013 Credit Agreement.</w:t>
      </w:r>
    </w:p>
    <w:p>
      <w:pPr>
        <w:spacing w:after="0" w:line="184"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new Senior Credit Agreement contains customary affirmative covenants for facilities of this type, including among others, covenants pertaining to the delivery of financial statements, notices of default and certain material events, maintenance of corporate existence and rights, business,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 The new Senior Credit Agreement also contains a maximum consolidated leverage ratio financial covenant. We have been compliant with the financial covenant during 2014, and we expect to remain in compliance for the next twelve months.</w:t>
      </w:r>
    </w:p>
    <w:p>
      <w:pPr>
        <w:spacing w:after="0" w:line="174"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Receivables Facility, our subsidiary, Mylan Pharmaceuticals Inc. (“MPI”), sells certain accounts receivable to Mylan Securitization a wholly owned special purpose entity which in turn sells a percentage ownership interest in the receivables to financial institutions and commercial paper conduits sponsored by financial institutions. MPI is the servicer of the receivables under the Receivables Facility. Purchases under the Receivables Facility will be repaid as accounts receivable are collected, with new purchases being advanced as new accounts receivable are originated by MPI.</w:t>
      </w:r>
    </w:p>
    <w:p>
      <w:pPr>
        <w:spacing w:after="0" w:line="18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Receivables Facility, any amounts outstanding under the facility are recorded as a secured loan and included in short-term borrowings, and the receivables underlying any borrowings are included in accounts receivable, net, in the Consolidated Balance Sheets. In January 2015, the Receivables Facility was amended and restated, and its maturity was extended through January 2018. At December 31, 2014, there were $325 million of short-term borrowings outstanding under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the Receivables Facility. The size of the Receivables Facility may be increased from time to time, upon request by Mylan Securitization and with the consent of the purchaser agents and the Agent, up to $500 million.</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Short-term borrowings held by the Company’s subsidiaries in India at December 31, 2014 totaled approximately $6 million and had a weighted average interest rate of 10.9%. The borrowings represent working capital facilities and are secured by Mylan India’s current assets.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unobservable inputs based on the Company’s own assumptions. Significant unobservable inputs in the valuation include the probability and timing of future development and commercial milestones and future profit sharing payments. A discounted cash flow method was used to value contingent consideration at December 31, 2014 and 2013, which was calculated as the present value of the estimated future net cash flows using a market rate of return at December 31, 2014 and 2013. Discount rates ranging from 0.8% to 11.3% were utilized in the valuation. Significant changes in unobservable inputs could result in material changes to the contingent consideration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2014 and the effect that such obligations are expected to have on our liquidity and cash flows in future periods: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One- Three</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Five</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6,273.3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Scheduled interest payments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2,100.6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561.9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10,412.3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4,031.2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320" w:hanging="652"/>
        <w:spacing w:after="0" w:line="228" w:lineRule="auto"/>
        <w:tabs>
          <w:tab w:leader="none" w:pos="6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Other commitments include the estimated liability payment related to the withdrawal from a multi-employer pension plan, funding commitments related to the Company’s clean energy investments, agreements to purchase third-party manufactured products and open purchase orders at December 31, 2014.</w:t>
      </w:r>
    </w:p>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lease certain property under various operating lease arrangements that expire generally over the next five years. These leases generally provide us with the option to renew the lease at the end of the lease term.</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2014, the $2.41 billion of debt related to the Cash Convertible Notes reported in our financial statements consists of $525 million of debt ($573 million face amount, net of $21 million discount) and a liability with a fair value of $1.85 billion related to the bifurcated conversion feature. The bifurcated conversion feature is not included in contractual obligations as there is an offsetting hedge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Scheduled interest payments represent the estimated interest payments related to our outstanding borrowings under term loans, notes and other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debt interest payments are estimated using current interest rates.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uncertainty with respect to the timing of future payments, if any, the following contingent payments have not been included in the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conjunction with the acquisition of Agila on December 4, 2013, the Company recorded estimated contingent consideration totaling $250 million as part of the purchase price. During the third quarter of 2014, the Company entered into an agreement with Strides Arcolab to settle a portion of the contingent consideration for $150 million, for which the Company accrued $230 million at the acquisition date. As a result of this agreement, the Company recognized a gain of $80 million during the year ended December 31, 2014, which is included in other operating (income) expense, net in the Consolidated Statements of Operations. The remaining contingent consideration, which could total a maximum of $211 million, is primarily related to the satisfaction of certain regulatory conditions, including potential regulatory remediation costs and the resolution of certain pre-acquisition contingencies.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71" w:name="page72"/>
    <w:bookmarkEnd w:id="71"/>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contractually obligated to make potential future development, regulatory and commercial milestone, royalty and/or profit sharing payments in conjunction with collaborative agreements or acquisitions we have entered into with third parties. The most significant of these relates to the potential future consideration related to the respiratory delivery platform. These payments are contingent upon the occurrence of certain future events and, given the nature of these events, it is unclear when, if ever, we may be required to pay such amounts. The amount of the contingent consideration liability was $470 million at December 31, 2014. In addition, the Company expects to incur approximately $35 million to $40 million of annual non-cash accretion expense related to the increase in the net present value of the contingent consideration liability.</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the Company entered into a development and commercialization collaboration with Theravance Biopharma for the development and, subject to FDA approval, commercialization of a novel once-daily nebulized LAMA for COPD and other respiratory diseases. Under the terms of the agreement, Mylan and Theravance Biopharm will co-develop the product. In the U.S., Mylan will lead commercialization and Theravance Biopharma will retain the right to co-promote the product under a profit-sharing arrangement. In addition to funding the U.S. registrational development program, Mylan will pay Theravance Biopharma an initial payment of $15 million in the second quarter of 2015 and made a $30 million equity investment in Theravance Biopharma. Under the terms of the agreement, Theravance Biopharma is eligible to receive potential development and sales milestone payments totaling $220 million in the aggregate.</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fourth quarter of 2013, the Company entered into a licensing agreement with Pfizer for the exclusive worldwide rights to develop, manufacture and commercialize a novel long-acting muscarinic antagonist compound. As part of the agreement, the Company made an upfront development payment, which is included as a component of R&amp;D expense in 2013, and could make additional payments upon the achievement of certain milestones as the Company’s development continues over the next several years. Depending on the commercialization of this novel compound and the level of future sales and profits, the Company could also be obligated to make payments upon the occurrence of certain sales milestones, along with sales royalties and profit sharing payments.</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an exclusive collaboration on the development, manufacturing, supply and commercialization of multiple, high value generic biologic compounds and three insulin analog products for the global marketplace. We plan to provide funding related to the collaboration over the next several years that could total approximately $75 million or more per year. Additionally, we have entered into product development agreements under which we have agreed to share in the development costs as they are incurred by our partners and/or pay milestones. As the timing of cash expenditures is dependent upon a number of factors, many of which are outside of our control, it is difficult to forecast the amount of payments to be made over the next few years, which could be significant.</w:t>
      </w:r>
    </w:p>
    <w:p>
      <w:pPr>
        <w:spacing w:after="0" w:line="188"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We periodically enter into licensing agreements with other pharmaceutical companies for the manufacture, marketing and/or sale of pharmaceutical products. These agreements generally call for us to pay a percentage of amounts earned from the sale of the product as a royalty on a profit share.</w:t>
      </w:r>
    </w:p>
    <w:p>
      <w:pPr>
        <w:spacing w:after="0" w:line="13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timing of future cash flows associated with our unrecognized tax benefits at December 31, 2014, we are unable to make reasonably reliable estimates of the period of cash settlement with the respective taxing authority. As such, $191.2 million of unrecognized tax benefits have been excluded from the contractual obligations table above.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sponsor various defined benefit pension plans in several countries. Benefit formulas are based on varying criteria on a plan by plan basis. We fund non-domestic pension liabilities in accordance with laws and regulations applicable to those plans, which typically results in these plans being unfunded. The amount accrued related to these benefits was $68.7 million at December 31, 2014. We are unable to determine when these amounts will require payment as the timing of cash expenditures is dependent upon a number of factors, many of which are outside of our control.</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executives and other employees that provide for compensation and certain other benefits. These agreements provide for severance payments under certain circumstances. Certain commercial agreements require us to provide performance bonds and/or indemnification; while it is difficult to forecast the amount of payments, if any, to be made over the next few years, we do not believe the amount would be material to our results of operations, cash flows or financial condition.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Currency Fluctuations and Inflation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Because our results are reported in U.S. Dollars, changes in the rate of exchange between the U.S. Dollar and the local currencies in the markets in which we operate, mainly the Euro, Indian Rupee, Japanese Yen, Australian Dollar, Canadian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72" w:name="page73"/>
    <w:bookmarkEnd w:id="72"/>
    <w:p>
      <w:pPr>
        <w:ind w:right="80"/>
        <w:spacing w:after="0" w:line="282" w:lineRule="auto"/>
        <w:rPr>
          <w:sz w:val="20"/>
          <w:szCs w:val="20"/>
          <w:color w:val="auto"/>
        </w:rPr>
      </w:pPr>
      <w:r>
        <w:rPr>
          <w:rFonts w:ascii="Times New Roman" w:cs="Times New Roman" w:eastAsia="Times New Roman" w:hAnsi="Times New Roman"/>
          <w:sz w:val="18"/>
          <w:szCs w:val="18"/>
          <w:color w:val="auto"/>
        </w:rPr>
        <w:t>Dollar, Pound Sterling and Brazilian Real affect our results as previously noted. We do not believe that inflation has had a material impact on our revenues or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significant accounting policies are described in Note 2 to Consolidated Financial Statements and are in accordance with U.S. GAAP.</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business acquisitions, intangible assets, goodwill and contingent consideration, income taxes and the impact of existing legal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Provisions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revenues are recognized for product sales when title and risk of loss have transferred to the customer and when provisions for estimates,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discounts, sales allowances, price adjustments, returns, chargebacks and other promotional programs are reasonably determinable. Accruals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are presented in the Consolidated Financial Statements as reductions in determining net revenues and in accounts receivable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 Accounts receivable are presented net of allowances relating to these provisions, which were $1.63 billion and $1.24 billion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 respectively. Other current liabilities include $581.3 million and $281.1 million at December 31, 2014 and 2013,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certain sales allowances and other adjustments that are paid to indirect customers. The following is a rollforward of the most significant provisions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sales allowances during 2014: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Checks/ Credits</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Foreign</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2"/>
                <w:szCs w:val="12"/>
                <w:color w:val="auto"/>
              </w:rPr>
            </w:pPr>
          </w:p>
        </w:tc>
        <w:tc>
          <w:tcPr>
            <w:tcW w:w="14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to Third</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Sales Made in the</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Period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Chargebacks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461.6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Incentives offered to direct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539.3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1,736.2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not made and do not anticipate making any significant changes to the methodologies that we use to measure chargebacks, incentives offered to direct customers or returns; however, the balances within these reserves can fluctuate significantly through the consistent application of our methodologies. In the current year, accruals for incentives offered to direct customers increased as a result of an increase in related sales and overall higher rebate rates, mainly in response to the competitive environment in various markets. Historically, we have not recorded in any current period any material amounts related to adjustments made to prior period reserves.</w:t>
      </w:r>
    </w:p>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Provisions for estimated discounts, sales allowances, promotional and other credits require a lower degree of subjectivity and are less complex in nature, yet, when combined, represent a significant portion of the overall provisions. These provisions are estimated based on historical payment experience, historical relationships to revenues, estimated customer inventory levels and contract terms. Such provisions are determinable due to the limited number of assumptions and consistency of historical experience. Others, such as chargebacks and returns, require management to make more subjective judgments and evaluate current market conditions. These provisions are discussed in further detail below.</w:t>
      </w:r>
    </w:p>
    <w:p>
      <w:pPr>
        <w:spacing w:after="0" w:line="182"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 The provision for chargebacks is the most significant and complex estimate used in the recognition of revenue. Mylan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directly to wholesalers, distributors, retail pharmacy chains, mail order pharmacies and group purchasing organizations. We also market products indirectly to independent pharmacies, managed care organizations, hospitals, nursing homes and pharmacy benefit management companies, collectively referred to as “indirect customers.” Mylan enters into agreements with its indirect customers to establish contract pricing for certain products. The indirect customers then independently select a wholesaler from which to actually purchase the products at these contracted prices. Alternatively, certain wholesalers may enter into agreements with indirect customers that establish contract pricing for certain products, which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80" w:right="239" w:bottom="1440" w:gutter="0" w:footer="0" w:header="0"/>
        </w:sectPr>
      </w:pPr>
    </w:p>
    <w:bookmarkStart w:id="73" w:name="page74"/>
    <w:bookmarkEnd w:id="73"/>
    <w:p>
      <w:pPr>
        <w:ind w:right="140"/>
        <w:spacing w:after="0" w:line="254" w:lineRule="auto"/>
        <w:rPr>
          <w:sz w:val="20"/>
          <w:szCs w:val="20"/>
          <w:color w:val="auto"/>
        </w:rPr>
      </w:pPr>
      <w:r>
        <w:rPr>
          <w:rFonts w:ascii="Times New Roman" w:cs="Times New Roman" w:eastAsia="Times New Roman" w:hAnsi="Times New Roman"/>
          <w:sz w:val="18"/>
          <w:szCs w:val="18"/>
          <w:color w:val="auto"/>
        </w:rPr>
        <w:t>wholesalers provide. Under either arrangement, Mylan will provide credit to the wholesaler for any difference between the contracted price with the indirect party and the wholesaler’s invoice price. Such credit is called a chargeback, while the difference between the contracted price and the wholesaler’s invoice price is referred to as the chargeback rate. The provision for chargebacks is based on expected sell-through levels by our wholesaler customers to indirect customers, as well as estimated wholesaler inventory levels. For the latter, in most cases, inventory levels are obtained directly from certain of our largest wholesalers. Additionally, internal estimates are prepared based upon historical buying patterns and estimated end-user demand. Such information allows us to estimate the potential chargeback that we may ultimately owe to our customers given the quantity of inventory on hand. We continually monitor our provision for chargebacks and evaluate our reserve and estimates as additional information becomes available. A change of 5% in the estimated sell-through levels by our wholesaler customers and in the estimated wholesaler inventory levels would have an effect on our reserve balance of approximately $34 million.</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Returns </w:t>
      </w:r>
      <w:r>
        <w:rPr>
          <w:rFonts w:ascii="Times New Roman" w:cs="Times New Roman" w:eastAsia="Times New Roman" w:hAnsi="Times New Roman"/>
          <w:sz w:val="18"/>
          <w:szCs w:val="18"/>
          <w:color w:val="auto"/>
        </w:rPr>
        <w:t>— Consistent with industry practice, we maintain a return policy that allows our customers to return product within a specified period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and subsequent to the expiration date. Although application of the policy varies from country to country in accordance with local practices, generally, product may be returned for a period beginning six months prior to its expiration date to up to one year after its expiration date. The majority of our product returns occur as a result of product dating, which falls within the range set by our policy, and are settled through the issuance of a credit to our customer. Although the introduction of additional generic competition does not give our customers the right to return product outside of our established policy, we do recognize that such competition could ultimately lead to increased returns. We analyze this on a case-by-case basis, when significant, and make adjustments to increase our reserve for product returns as necessary. Our estimate of the provision for returns is based upon our historical experience with actual returns, which is applied to the level of sales for the period that corresponds to the period during which our customers may return product. This period is known by us based on the shelf lives of our products at the time of shipment. Additionally, we consider factors such as levels of inventory in the distribution channel, product dating and expiration period, size and maturity of the market prior to a product launch, entrance into the market of additional generic competition, changes in formularies or launch of over-the-counter products, and make adjustments to the provision for returns in the event that it appears that actual product returns may differ from our established reserves. We obtain data with respect to the level of inventory in the channel directly from certain of our largest customers. A change of 5% in the estimated product return rate used in our calculation of our return reserve would have an effect on our reserve balance of approximately $12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Acquisitions, Intangible Assets, Goodwill and Contingent Consideration</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account for acquired businesses using the purchase method of accounting, which requires that the assets acquired and liabilities assumed be recorded at the date of acquisition at their respective estimated fair values. The cost to acquire businesses has been allocated to the underlying net assets of the acquired businesses based on estimates of their respective fair values. Amounts allocated to acquired IPR&amp;D are capitalized at the date of an acquisition and, at that time, such IPR&amp;D assets have indefinite lives. As products in development are approved for sale, amounts will be allocated to product rights and licenses and will be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acquisition at its estimated fair value on the acquisition date. Each reporting period thereafter, we revalue these obligations and record increases or decreases in their fair value as an adjustment to contingent consideration expense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judgment is employed in determining the assumptions utilized as of the acquisition date and for each subsequent measurement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changes in assumptions described above, could have a material impact on our consolidated results of operations.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0" w:right="239" w:bottom="1440" w:gutter="0" w:footer="0" w:header="0"/>
        </w:sectPr>
      </w:pPr>
    </w:p>
    <w:bookmarkStart w:id="74" w:name="page75"/>
    <w:bookmarkEnd w:id="74"/>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Goodwill and intangible assets, including IPR&amp;D, are reviewed for impairment annually and/or when events or other changes in circumstances indicate that the carrying amount of the assets may not be recoverable. Impairment of goodwill and indefinite-lived intangibles is determined to exist when the fair value is less than the carrying value of the net assets being tested. Impairment of definite-lived intangibles is determined to exist when undiscounted cash flows related to the assets are less than the carrying value of the assets being tested. Future events and decisions may lead to asset impairment and/or related costs.</w:t>
      </w:r>
    </w:p>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Goodwill is allocated and evaluated for impairment at the reporting unit level, which is defined as an operating segment or one level below an operating segment. Mylan has four reporting units, of which three are included in the Generics segment with the remaining reporting unit consisting of our Specialty segment. As of the date of our most recent annual impairment test, April 1, 2014, approximately 91% of Mylan’s total goodwill is allocated to the three reporting units within the Generics segment as follows: North America ($764.3 million), Europe ($1.22 billion) and Rest of World ($1.98 billion), with $349.1 million allocated to our Specialty segment and reporting unit.</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Codification (“ASC”) 350, we have performed our annual impairment test as of April 1, 2014 utilizing the two-step goodwill impairment analysis referred to as “Step 1” and, if necessary, “Step 2”. Step 1 of the impairment analysis consists of a comparison of the estimated fair value of the individual reporting units with their carrying amount, including goodwill. In estimating each reporting unit’s fair value, we performed extensive valuation analysis, utilizing both income and market-based approaches, in our goodwill assessment process. We utilized an average of the two methods in estimating the fair value of the individual reporting units, except for the Specialty reporting unit. For the reporting units in which we utilized an average of the income and market-based approaches, the averaging of the two valuation methods did not significantly impact the estimated fair value of the reporting units. Given the variability in expectations for the Specialty reporting unit’s product portfolio, an income based approach was utilized. The following describes the valuation methodologies used to derive the estimated fair value of the reporting units.</w:t>
      </w:r>
    </w:p>
    <w:p>
      <w:pPr>
        <w:spacing w:after="0" w:line="18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Income Approach</w:t>
      </w:r>
      <w:r>
        <w:rPr>
          <w:rFonts w:ascii="Times New Roman" w:cs="Times New Roman" w:eastAsia="Times New Roman" w:hAnsi="Times New Roman"/>
          <w:sz w:val="18"/>
          <w:szCs w:val="18"/>
          <w:color w:val="auto"/>
        </w:rPr>
        <w:t>: Under this approach, to determine fair value, we discounted the expected future cash flows of each reporting unit. We 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estimated earnings before interest, taxes, depreciation and amortization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18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Market-Based Approach</w:t>
      </w:r>
      <w:r>
        <w:rPr>
          <w:rFonts w:ascii="Times New Roman" w:cs="Times New Roman" w:eastAsia="Times New Roman" w:hAnsi="Times New Roman"/>
          <w:sz w:val="18"/>
          <w:szCs w:val="18"/>
          <w:color w:val="auto"/>
        </w:rPr>
        <w:t>: The Company also utilizes a market-based approach to estimate fair value, principally utilizing the guideline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which focuses on comparing our risk profile and growth prospects to a select group of publicly traded companies with reasonably similar guidelines.</w:t>
      </w:r>
    </w:p>
    <w:p>
      <w:pPr>
        <w:spacing w:after="0" w:line="16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impairment test as of April 1, 2014, and the estimated fair value of the four reporting units, described above, were in excess of the respective carrying values of each reporting unit. For the North America reporting unit, the estimated fair value of this business exceeded its carrying value by over 100%. As it relates to the income approach for the North America reporting unit at April 1, 2014, we forecasted cash flows for the next ten years. During the forecast period, the revenue compound annual growth rate (“CAGR”) was approximately 10%. A terminal value year was calculated with a 3% revenue growth rate applied. The CAGR in EBITDA margins was approximately 2%. The discount rate utilized was 8.5%. Under the market-based approach, we utilized an estimated range of market multiples of 10.5 to 13.0 times EBITDA plus a control premium of 15%.</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it relates to the income approach for the Europe reporting unit at April 1, 2014, we forecasted cash flows for the next ten years. During the forecast period, the revenue CAGR was approximately 6%. A terminal value year was calculated with a 3% revenue growth rate applied. The CAGR in EBITDA margins was approximately 8%. The discount rate utilized was 9.0%. Under the market-based approach, we utilized an estimated range of market multiples of 10.0 to 12.0 times EBITDA plus a control premium of 15%. The estimated fair value of the Europe reporting unit exceeded its carrying value by approximately 18%.</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Rest of World reporting unit, the estimated fair value of this business exceeded its carrying value by approximately 20% as of April 1, 2014. As it relates to the income approach for Rest of World reporting unit, we forecasted cash flows for the next ten years. During the forecast period, the revenue CAGR was approximately 11%. A terminal value year was calculated with a 4% revenue growth rate applied. The CAGR in EBITDA margins was approximately 7% over the period of estimated cash flows. The discount rate utilized was 11.5%. Under the market-based approach, we utilized an estimated range of market multiples of 9.5 to 12.5 times EBITDA plus a control premium of 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80" w:right="239" w:bottom="1440" w:gutter="0" w:footer="0" w:header="0"/>
        </w:sectPr>
      </w:pPr>
    </w:p>
    <w:bookmarkStart w:id="75" w:name="page76"/>
    <w:bookmarkEnd w:id="75"/>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For the Specialty reporting unit, the estimated fair value of this business exceeded its carrying value by over 100% as of April 1, 2014. As it relates to the income approach for the Specialty reporting unit, we forecasted cash flows for the next ten years. During the forecast period, the revenue CAGR was a decline of approximately 3%. A terminal value year was calculated with a 3% revenue growth rate applied. EBITDA margins remained relatively stable at approximately 53% over the period of estimated cash flows. The discount rate utilized was 13.0%. Due to the variability in expectations for the Specialty reporting unit’s product portfolio, primarily related to forecasted sales of the EpiPen® Auto-Injector and the potential generic competition, a market-based approach was not utilized for this reporting unit. 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the estimated fair value of a reporting unit is less than the carrying value, additional analysis would be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 which would likely materially impact the Company’s reported results of operations.</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also assessed the recoverability of certain long-lived assets contained within the reporting units. Any impairment of these assets must be considered prior to our impairment review of goodwill. The assessment for impairment is based on our ability to recover the carrying value of the long-lived assets by analyzing the expected future undiscounted pre-tax cash flows specific to the asset grouping.</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assess the recoverability of the carrying value of long-lived assets at the lowest level for which identifiable undiscounted cash flows are largely independent of the cash flows of other assets and liabilities. For Rest of World and Europe reporting units, this assessment is generally performed at the country level within the reporting units. If these undiscounted cash flows are less than the carrying value of long-lived assets within the asset group, an impairment loss is measured based on the difference between the estimated fair value and carrying value. 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grouping. The Company’s Australia operation in Rest of World reporting unit and certain asset groupings in the Europe reporting unit, principally Portugal, Belgium and Germany, remain at risk for potential impairment charges if the projected operating results are not achieved. Any future long-lived assets impairment charges would likely materially impact the Company’s reported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compute our income taxes based on the statutory tax rates and tax planning opportunities available to Mylan in the various jurisdictions in which we generate income. Significant judgment is required in determining our income taxes and in evaluating our tax positions. We establish reserves in accordance with Mylan’s policy regarding accounting for uncertainty in income taxes. Our policy provides that the tax effects from an uncertain tax position be recognized in Mylan’s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2014. Such objective evidence limits the ability to consider other subjective evidence such as our projections for future growth.</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Based on this evaluation, as of December 31, 2014, a valuation allowance of $304.5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796" w:right="239" w:bottom="1440" w:gutter="0" w:footer="0" w:header="0"/>
        </w:sectPr>
      </w:pPr>
    </w:p>
    <w:bookmarkStart w:id="76" w:name="page77"/>
    <w:bookmarkEnd w:id="76"/>
    <w:p>
      <w:pPr>
        <w:ind w:right="100"/>
        <w:spacing w:after="0" w:line="282" w:lineRule="auto"/>
        <w:rPr>
          <w:sz w:val="20"/>
          <w:szCs w:val="20"/>
          <w:color w:val="auto"/>
        </w:rPr>
      </w:pPr>
      <w:r>
        <w:rPr>
          <w:rFonts w:ascii="Times New Roman" w:cs="Times New Roman" w:eastAsia="Times New Roman" w:hAnsi="Times New Roman"/>
          <w:sz w:val="18"/>
          <w:szCs w:val="18"/>
          <w:color w:val="auto"/>
        </w:rPr>
        <w:t>are reduced or if objective negative evidence in the form of cumulative losses is no longer present and additional weight may be given to subjective evidence such as projections for growth.</w:t>
      </w:r>
    </w:p>
    <w:p>
      <w:pPr>
        <w:spacing w:after="0" w:line="162"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resolution of tax reserves and changes in valuation allowances could be material to Mylan’s results of operations or financial condition. A variance of 5% between estimated reserves and valuation allowances and actual resolution and realization of these tax items would have an effect on our reserve balance and valuation allowance of approximately $25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Mylan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and/or share price, such estimates are considered to be critical accounting estimates.</w:t>
      </w:r>
    </w:p>
    <w:p>
      <w:pPr>
        <w:spacing w:after="0" w:line="1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 variance of 5% between estimated and recorded litigation reserves (excluding indemnified claims) and actual resolution of certain legal matters would have an effect on our litigation reserve balance of approximately $2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May 2014, the FASB issued revised accounting guidance on revenue recognition that will supersede nearly all existing revenue recognition guidance under U.S. GAAP. The core principal of this guidance is that an entity should recognize revenue when it transfers promised goods or services to customers in an amount that reflects the consideration which the entity expects to receive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is effective for fiscal years beginning after December 15, 2016, and for interim periods within those fiscal years and can be applied using a full retrospective or modified retrospective approach. The Company is currently assessing the impact of the adoption of this guidance on its business, financial condition, results of operations and cash flows.</w:t>
      </w:r>
    </w:p>
    <w:p>
      <w:pPr>
        <w:spacing w:after="0" w:line="3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Foreign exchange risk is also managed through the use of foreign currency forward-exchange contracts. These contracts are used to offset the potential earnings effects from mostly intercompany foreign currency assets and liabilities that arise from operations and from intercompany loans. Mylan’s primary areas of foreign exchange risk relative to the U.S. Dollar are the Euro, Indian Rupee, Japanese Yen, Australian Dollar, Canadian Dollar, Pound Sterling and Brazilian Real.</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financial instrument holdings at year end were analyzed to determine their sensitivity to foreign exchange rate changes. The fair values of these instruments were determined as follows:</w:t>
      </w:r>
    </w:p>
    <w:p>
      <w:pPr>
        <w:spacing w:after="0" w:line="54" w:lineRule="exact"/>
        <w:rPr>
          <w:sz w:val="20"/>
          <w:szCs w:val="20"/>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forward-exchange contracts — net present values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denominated receivables, payables, debt and loans — changes in exchange rates</w:t>
      </w:r>
    </w:p>
    <w:p>
      <w:pPr>
        <w:spacing w:after="0" w:line="225"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there were an adverse change in foreign currency exchange rates of 10%, the expected net effect on net income related to Mylan’s foreign currency denominated financial instruments would not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Interest Rate and Long-Term Debt Risk</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Mylan’s exposure to interest rate risk arises primarily from our U.S. Dollar borrowings and investments. We invest primarily on a variable-rate basis and we borrow on both a fixed and variable basis. In order to maintain a certain ratio of fixed to variable rate debt, from time to time, depending on market conditions, Mylan will use derivative financial instruments such as interest rate swaps to fix interest rates on variable-rate borrowings or to convert fixed-rate borrowings to variable interest rates.</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Mylan’s long-term borrowings consist principally of $573.0 million notional value in Cash Convertible Notes and $5.70 billion in Senior Notes, the 2014 Term Loan and the New Revolving Facility.</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Generally, the fair value of fixed interest rate debt will decrease as interest rates rise and increase as interest rates fall. Prior to the consummation of the Transaction, the fair value of the Cash Convertible Notes fluctuated as the market value of our common stock fluctuates. In connection with the consummation of the Transaction, we and New Mylan executed a supplemental indenture that amended the indenture governing the Cash Convertible Notes so that the fair value of the Cash Convertible Notes fluctuate as the market value of New Mylan’s ordinary shares fluctuates. As of December 31, 2014, the fair value of our Senior Notes was approximately $5.03 billion and the fair value of our Cash Convertible Notes was approximately $2.42 billion. A 100 basis point change in interest rates on Mylan’s variable rate debt, net of interest rate swaps, would result in a change in interest expense of approximately $19 million per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available-for-sale securities, investments are made in overnight deposits, highly rated money market funds and marketable securities with maturities of less than three months. These instruments are classified as cash equivalents for financial reporting purposes and have minimal or no interest rate risk due to their short-term nature.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578" w:right="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12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8"/>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and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8"/>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0" w:type="dxa"/>
            <w:vAlign w:val="bottom"/>
          </w:tcPr>
          <w:p>
            <w:pPr>
              <w:spacing w:after="0"/>
              <w:rPr>
                <w:sz w:val="2"/>
                <w:szCs w:val="2"/>
                <w:color w:val="auto"/>
              </w:rPr>
            </w:pPr>
          </w:p>
        </w:tc>
        <w:tc>
          <w:tcPr>
            <w:tcW w:w="27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4860" w:type="dxa"/>
            <w:vAlign w:val="bottom"/>
            <w:gridSpan w:val="6"/>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Management’s Report on Internal Control over Financial Reporting</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79</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860" w:type="dxa"/>
            <w:vAlign w:val="bottom"/>
            <w:gridSpan w:val="6"/>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Reports of Independent Registered Public Accounting Firm</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80</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1"/>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Consolidated Balance Sheets as of December 31, 2014 and 2013</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82</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1"/>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83</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1"/>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Comprehensive Earnings for the Years Ended December 31, 2014, 2013 and 2012</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84</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600" w:type="dxa"/>
            <w:vAlign w:val="bottom"/>
            <w:gridSpan w:val="7"/>
          </w:tcPr>
          <w:p>
            <w:pPr>
              <w:spacing w:after="0"/>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Consolidated Statements of Equity for the Years Ended December 31, 2014, 2013 and 2012</w:t>
              </w:r>
            </w:hyperlink>
          </w:p>
        </w:tc>
        <w:tc>
          <w:tcPr>
            <w:tcW w:w="1320" w:type="dxa"/>
            <w:vAlign w:val="bottom"/>
            <w:gridSpan w:val="3"/>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85</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9"/>
          </w:tcPr>
          <w:p>
            <w:pPr>
              <w:spacing w:after="0"/>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86</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20" w:type="dxa"/>
            <w:vAlign w:val="bottom"/>
            <w:gridSpan w:val="6"/>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9"/>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Notes to Consolidated Financial Statements</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87</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140" w:type="dxa"/>
            <w:vAlign w:val="bottom"/>
            <w:gridSpan w:val="3"/>
          </w:tcPr>
          <w:p>
            <w:pPr>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Supplementary Financial Information</w:t>
              </w:r>
            </w:hyperlink>
          </w:p>
        </w:tc>
        <w:tc>
          <w:tcPr>
            <w:tcW w:w="676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130</w:t>
              </w:r>
            </w:hyperlink>
          </w:p>
        </w:tc>
      </w:tr>
      <w:tr>
        <w:trPr>
          <w:trHeight w:val="507"/>
        </w:trPr>
        <w:tc>
          <w:tcPr>
            <w:tcW w:w="4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390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color w:val="auto"/>
                <w:w w:val="99"/>
              </w:rPr>
              <w:t>78</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Management of Mylan Inc. (the “Company”)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issued by the Committee of Sponsoring Organizations of the Treadway Commission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this assessment, management has concluded that the Company maintained effective internal control over financial reporting as of December 31, 2014 based on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62" w:lineRule="exact"/>
        <w:rPr>
          <w:sz w:val="20"/>
          <w:szCs w:val="20"/>
          <w:color w:val="auto"/>
        </w:rPr>
      </w:pPr>
    </w:p>
    <w:p>
      <w:pPr>
        <w:ind w:right="280" w:firstLine="648"/>
        <w:spacing w:after="0" w:line="313" w:lineRule="auto"/>
        <w:rPr>
          <w:sz w:val="20"/>
          <w:szCs w:val="20"/>
          <w:color w:val="auto"/>
        </w:rPr>
      </w:pPr>
      <w:r>
        <w:rPr>
          <w:rFonts w:ascii="Times New Roman" w:cs="Times New Roman" w:eastAsia="Times New Roman" w:hAnsi="Times New Roman"/>
          <w:sz w:val="17"/>
          <w:szCs w:val="17"/>
          <w:color w:val="auto"/>
        </w:rPr>
        <w:t>Our independent registered public accounting firm, Deloitte &amp; Touche LLP, has audited the effectiveness of the Company’s internal control over financial reporting. Deloitte &amp; Touche LLP’s opinion on the Company’s internal control over financial reporting appears on page 81 of this Form 10-K.</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240" w:top="576" w:right="319" w:bottom="1440" w:gutter="0" w:footer="0" w:header="0"/>
        </w:sectPr>
      </w:pPr>
    </w:p>
    <w:bookmarkStart w:id="80" w:name="page81"/>
    <w:bookmarkEnd w:id="80"/>
    <w:p>
      <w:pPr>
        <w:ind w:right="5180"/>
        <w:spacing w:after="0" w:line="456"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Board of Directors and Shareholders of Mylan Inc.:</w:t>
      </w:r>
    </w:p>
    <w:p>
      <w:pPr>
        <w:spacing w:after="0" w:line="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Mylan Inc. and subsidiaries (the “Company”) as of December 31, 2014 and 2013, and the related consolidated statements of operations, comprehensive earnings, equity, and cash flows for each of the three years in the period ended December 31, 2014. Our audits also included the consolidated financial statement schedule listed in the Index at Item 15. These consolidated financial statements and consolidated financial statement schedule are the responsibility of the Company's management. Our responsibility is to express an opinion on the consolidated financial statements and consolidated financial statement schedule based on our audits.</w:t>
      </w:r>
    </w:p>
    <w:p>
      <w:pPr>
        <w:spacing w:after="0" w:line="143"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Mylan Inc.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such consolidated financial statement schedule, when considered in relation to the basic consolidated financial statements taken as a whole, presents fairly, in all material respects, the information set forth therein.</w:t>
      </w:r>
    </w:p>
    <w:p>
      <w:pPr>
        <w:spacing w:after="0" w:line="14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2015 expressed an unqualified opinion on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60"/>
          </w:cols>
          <w:pgMar w:left="240" w:top="792" w:right="299" w:bottom="1440" w:gutter="0" w:footer="0" w:header="0"/>
        </w:sectPr>
      </w:pPr>
    </w:p>
    <w:bookmarkStart w:id="81" w:name="page82"/>
    <w:bookmarkEnd w:id="81"/>
    <w:p>
      <w:pPr>
        <w:ind w:right="5240"/>
        <w:spacing w:after="0" w:line="456"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Board of Directors and Shareholders of Mylan Inc.:</w:t>
      </w:r>
    </w:p>
    <w:p>
      <w:pPr>
        <w:spacing w:after="0" w:line="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Mylan Inc. and subsidiaries (the “Company”) as of December 31, 2014,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consolidated financial statement schedule as of and for the year ended December 31, 2014 of the Company and our report dated March 2, 2015 expressed an unqualified opinion on those consolidated financial statements and consolidated financial statement schedule.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76"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1,820.0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4,471.2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2,517.9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2,221.9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15,294.8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2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1,072.8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2,964.0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1,269.1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12,334.9</w:t>
            </w:r>
          </w:p>
        </w:tc>
        <w:tc>
          <w:tcPr>
            <w:tcW w:w="0" w:type="dxa"/>
            <w:vAlign w:val="bottom"/>
          </w:tcPr>
          <w:p>
            <w:pPr>
              <w:spacing w:after="0"/>
              <w:rPr>
                <w:sz w:val="1"/>
                <w:szCs w:val="1"/>
                <w:color w:val="auto"/>
              </w:rPr>
            </w:pPr>
          </w:p>
        </w:tc>
      </w:tr>
      <w:tr>
        <w:trPr>
          <w:trHeight w:val="22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Mylan Inc.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Common stock — par value $0.50 per share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Shares authorized: 1,500,000,000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Shares issued: 546,658,507 and 543,978,030 as of December 31, 2014 and December 31, 2013</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4,103.6</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7,113.6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6,820.6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Shares: 171,435,200 and 172,373,900 as of December 31, 2014 and December 31, 2013</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3,878.8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2,959.9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15,294.8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76" w:right="2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7,646.5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6,856.6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6,750.2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7,719.6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6,909.1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6,796.1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3,887.8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3,528.0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3,040.3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2,908.3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1,392.4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1,798.9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 and noncontrolling interest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earnings attributable to the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Mylan Inc. common shareholders: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76"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643.0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 in unrecognized (loss) gain and prior service cost related to defined benefit plans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unrecognized (loss) gain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644.3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earnings attributable to the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earnings attributable to Mylan Inc.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642.2</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792" w:right="239" w:bottom="1440" w:gutter="0" w:footer="0" w:header="0"/>
        </w:sectPr>
      </w:pPr>
    </w:p>
    <w:bookmarkStart w:id="85" w:name="page86"/>
    <w:bookmarkEnd w:id="85"/>
    <w:p>
      <w:pPr>
        <w:ind w:left="4280"/>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74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1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0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4"/>
                <w:szCs w:val="4"/>
                <w:color w:val="auto"/>
              </w:rPr>
            </w:pPr>
          </w:p>
        </w:tc>
        <w:tc>
          <w:tcPr>
            <w:tcW w:w="800" w:type="dxa"/>
            <w:vAlign w:val="bottom"/>
            <w:gridSpan w:val="2"/>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4"/>
                <w:szCs w:val="4"/>
                <w:color w:val="auto"/>
              </w:rPr>
            </w:pPr>
          </w:p>
        </w:tc>
        <w:tc>
          <w:tcPr>
            <w:tcW w:w="640" w:type="dxa"/>
            <w:vAlign w:val="bottom"/>
            <w:vMerge w:val="restart"/>
          </w:tcPr>
          <w:p>
            <w:pPr>
              <w:jc w:val="right"/>
              <w:ind w:right="168"/>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3080" w:type="dxa"/>
            <w:vAlign w:val="bottom"/>
          </w:tcPr>
          <w:p>
            <w:pPr>
              <w:spacing w:after="0"/>
              <w:rPr>
                <w:sz w:val="5"/>
                <w:szCs w:val="5"/>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2011</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530,315,453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3,795.4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1,420.5</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(103,637,016)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(1,901.4)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3,504.9</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640.9</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643.0</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earnings, net of tax</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share repurchase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(41,398,647)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Stock options exercised, net of shares tendered for</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9,348,933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net of shares withheld</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576,454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benefit of stock option plans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42"/>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2012</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539,664,386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(144,459,209)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(2,890.7)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3,355.8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623.7</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626.5</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share repurchase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(28,485,459)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Stock options exercised, net of shares tendered for</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4,313,644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net of shares withheld</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570,769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benefit of stock option plans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82"/>
        </w:trPr>
        <w:tc>
          <w:tcPr>
            <w:tcW w:w="3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Balance at December 31, 2013</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543,978,030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4,103.6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2,685.1</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(172,373,899)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(3,878.8)</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2,959.9</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929.4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933.1</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(746.9)</w:t>
            </w:r>
          </w:p>
        </w:tc>
        <w:tc>
          <w:tcPr>
            <w:tcW w:w="0" w:type="dxa"/>
            <w:vAlign w:val="bottom"/>
          </w:tcPr>
          <w:p>
            <w:pPr>
              <w:spacing w:after="0"/>
              <w:rPr>
                <w:sz w:val="1"/>
                <w:szCs w:val="1"/>
                <w:color w:val="auto"/>
              </w:rPr>
            </w:pPr>
          </w:p>
        </w:tc>
      </w:tr>
      <w:tr>
        <w:trPr>
          <w:trHeight w:val="158"/>
        </w:trPr>
        <w:tc>
          <w:tcPr>
            <w:tcW w:w="30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Stock options exercised, net of shares tendered for</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2,680,477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w:t>
            </w: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restricted stock, net of shares withheld</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938,699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Tax benefit of stock option plans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2"/>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December 31, 2014</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546,658,507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4,212.8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3,614.5</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(171,435,200)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(3,857.7)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3,276.0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765"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estimated sales allowances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non-cash items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43"/>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7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operating assets and liabilities,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949.0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product rights and other,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financing fees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short-term borrowings,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2,043.4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items,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on cash of changes in exchange rates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97"/>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 —</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transaction: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490" w:gutter="0" w:footer="0" w:header="0"/>
        </w:sectPr>
      </w:pP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49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0"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following discussion relates to Mylan Inc. prior to the consummation of the Transaction, defined below, on February 27, 2015.</w:t>
      </w:r>
    </w:p>
    <w:p>
      <w:pPr>
        <w:spacing w:after="0" w:line="23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Mylan Inc. and its subsidiaries (collectively, the “Company,” “Mylan,” “our” or “we”) are engaged in the global development, licensing, manufacture, marketing and distribution of generic, brand and branded generic pharmaceutical products for resale by others and active pharmaceutical ingredients (“API”) through two segments, “Generics” and “Specialty.” The principal markets for Generics are proprietary and ethical pharmaceutical wholesalers and distributors, group purchasing organizations, drug store chains, independent pharmacies, drug manufacturers, institutions, and public and governmental agencies primarily within the United States (“U.S.”) and Canada (collectively, “North America”); Europe; and India, Australia, Japan, New Zealand and Brazil (collectively, “Rest of World”). Generics also focuses on developing API with non-infringing processes for both internal use and to partner with manufacturers in regulated markets such as the U.S. and the European Union (the “EU”) at market formation. The principal market for Specialty is pharmaceutical wholesalers and distributors, pharmacies and health care institutions primarily in the U.S.</w:t>
      </w:r>
    </w:p>
    <w:p>
      <w:pPr>
        <w:spacing w:after="0" w:line="18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Mylan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Noncontrolling interests in the Company’s subsidiaries are recorded net of tax as net earnings attributable to noncontrolling interests. Certain prior year amounts have been reclassified from selling, general and administrative (“SG&amp;A”) expense to other operating (income) expense, net to conform to the presentation for the current year. The reclassifications had no impact on the previously reported net earnings attributable to Mylan Inc. common shareholders.</w:t>
      </w:r>
    </w:p>
    <w:p>
      <w:pPr>
        <w:spacing w:after="0" w:line="18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The preparation of financial statements, in conformity with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accepted in the United States of America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7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Currencies. </w:t>
      </w:r>
      <w:r>
        <w:rPr>
          <w:rFonts w:ascii="Times New Roman" w:cs="Times New Roman" w:eastAsia="Times New Roman" w:hAnsi="Times New Roman"/>
          <w:sz w:val="18"/>
          <w:szCs w:val="18"/>
          <w:color w:val="auto"/>
        </w:rPr>
        <w:t>The Consolidated Financial Statements are presented in U.S. Dollars, the reporting currency of Mylan.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83"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and cash equivalents are comprised of highly liquid investments with an original maturity of three months or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date of purchase.</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Marketable equity and debt securities classified as available-for-sale are recorded at fair value, with net unrealized gains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net of income taxes, reflected in accumulated other comprehensive loss as a component of shareholders’ equity. Net realized gains and losses on sales of available-for-sale securities are computed on a specific security basis and are included in other expense (income), net, in the Consolidated Statements of Operations. Marketable equity and debt securities classified as trading securities are valued at the quoted market price from broker or dealer quotations or transparent pricing sources at the reporting date, and realized and unrealized gains and losses are included in other expense (income), net, in the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76" w:right="239" w:bottom="1440" w:gutter="0" w:footer="0" w:header="0"/>
        </w:sectPr>
      </w:pPr>
    </w:p>
    <w:bookmarkStart w:id="88" w:name="page89"/>
    <w:bookmarkEnd w:id="88"/>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Financial instruments that potentially subject the Company to credit risk consist principally of interest-bearing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derivatives and accounts receivable.</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Mylan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Mylan performs ongoing credit evaluations of its customers and generally does not require collateral. Approximately 53% and 41% of the accounts receivable balances represent amounts due from three customers at December 31, 2014 and December 31, 2013, respectively. Total allowances for doubtful accounts were $25.7 million and $24.6 million at December 31, 2014 and December 31, 2013, respectively.</w:t>
      </w:r>
    </w:p>
    <w:p>
      <w:pPr>
        <w:spacing w:after="0" w:line="172" w:lineRule="exact"/>
        <w:rPr>
          <w:sz w:val="20"/>
          <w:szCs w:val="20"/>
          <w:color w:val="auto"/>
        </w:rPr>
      </w:pPr>
    </w:p>
    <w:p>
      <w:pPr>
        <w:jc w:val="both"/>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market, with cost principally determined by the first-in, first-out method. Provisions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potentially obsolete or slow-moving inventory, including pre-launch inventory, are made based on our analysis of inventory levels, historical obsolescence and future sales forecasts.</w:t>
      </w:r>
    </w:p>
    <w:p>
      <w:pPr>
        <w:spacing w:after="0" w:line="171" w:lineRule="exact"/>
        <w:rPr>
          <w:sz w:val="20"/>
          <w:szCs w:val="20"/>
          <w:color w:val="auto"/>
        </w:rPr>
      </w:pPr>
    </w:p>
    <w:p>
      <w:pPr>
        <w:ind w:right="50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Property, Plant and Equipment. </w:t>
      </w:r>
      <w:r>
        <w:rPr>
          <w:rFonts w:ascii="Times New Roman" w:cs="Times New Roman" w:eastAsia="Times New Roman" w:hAnsi="Times New Roman"/>
          <w:sz w:val="17"/>
          <w:szCs w:val="17"/>
          <w:color w:val="auto"/>
        </w:rPr>
        <w:t>Property, plant and equipment are stated at cost less accumulated depreciation. Depreciation is computed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recorded on a straight-line basis over the assets’ estimated service lives (three to 18 years for machinery and equipment and other fixed assets and 15 to</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39 years for buildings and improvements). Capitalized software is included in property, plant and equipment and is amortized over a period of three years. Capitalized software costs included on our Consolidated Balance Sheets were $116.3 million and $106.1 million, net of depreciation, at December 31, 2014 and 2013, respectively. The Company periodically reviews the original estimated useful lives of assets and makes adjustments when appropriate. Depreciation expense was approximately $172.8 million, $152.3 million and $160.2 million for the years ended December 31, 2014, 2013 and 2012, respectively.</w:t>
      </w:r>
    </w:p>
    <w:p>
      <w:pPr>
        <w:spacing w:after="0" w:line="182"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and Goodwill. </w:t>
      </w:r>
      <w:r>
        <w:rPr>
          <w:rFonts w:ascii="Times New Roman" w:cs="Times New Roman" w:eastAsia="Times New Roman" w:hAnsi="Times New Roman"/>
          <w:sz w:val="18"/>
          <w:szCs w:val="18"/>
          <w:color w:val="auto"/>
        </w:rPr>
        <w:t>Intangible assets are stated at cost less accumulated amortization. Amortization is generally recorded on a straight-line basis over estimated useful lives ranging from five to 20 years. The Company periodically reviews the original estimated useful lives of intangible assets and makes adjustments when events indicate that a shorter life is appropriate.</w:t>
      </w:r>
    </w:p>
    <w:p>
      <w:pPr>
        <w:spacing w:after="0" w:line="17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acquired businesses using the purchase method of accounting, which requires that the assets acquired and liabilities assumed be recorded at the date of acquisition at their respective fair values. The cost to acquire a business is allocated to the underlying net assets of the acquired business in proportion to their respective fair values. Amounts allocated to acquired in-process research and development (“IPR&amp;D”) are capitalized at the date of an acquisition and, at the time, such IPR&amp;D assets have indefinite lives. As products in development are approved for sale, amounts will be allocated to product rights and licenses and will be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Financial Accounting Standards Board (“FASB”), we have the option to first assess the qualitative factors to determine whether it is more likely than not that the fair value of the reporting unit is less than its carrying amount as a basis for determining whether it is necessary to perform the two-step goodwill impairment test. If we determine that it is more likely than not that the fair value of a reporting unit is less than its carrying amount, then the two-step goodwill impairment test is performed.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w:t>
      </w:r>
    </w:p>
    <w:p>
      <w:pPr>
        <w:spacing w:after="0" w:line="18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judgments made in determining the estimated fair value assigned to each class of assets acquired and liabilities assumed, as well as asset lives, can materially impact the Company’s results of operations. Fair values and useful lives are determined based on, among other factors, the expected future period of benefit of the asset, the various characteristics of the asset and projected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576" w:right="239" w:bottom="1440" w:gutter="0" w:footer="0" w:header="0"/>
        </w:sectPr>
      </w:pPr>
    </w:p>
    <w:bookmarkStart w:id="89" w:name="page90"/>
    <w:bookmarkEnd w:id="89"/>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Consideration. </w:t>
      </w:r>
      <w:r>
        <w:rPr>
          <w:rFonts w:ascii="Times New Roman" w:cs="Times New Roman" w:eastAsia="Times New Roman" w:hAnsi="Times New Roman"/>
          <w:sz w:val="18"/>
          <w:szCs w:val="18"/>
          <w:color w:val="auto"/>
        </w:rPr>
        <w:t>Mylan records contingent consideration resulting from a business acquisition at its fair value on the acquisition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reporting period thereafter, the Company revalues these obligations and records increases or decreases in their fair value as a charge (credit) to other operating (income) expense,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judgment is employed in determining the assumptions utilized as of the acquisition date and for each subsequent measurement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changes in the assumptions described above could have a material impact on the Company’s consolidated results of operations.</w:t>
      </w:r>
    </w:p>
    <w:p>
      <w:pPr>
        <w:spacing w:after="0" w:line="20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carrying values of long-lived assets, which include property, plant and equipment and intangible assets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finite lives, are evaluated periodically in relation to the expected future undiscounted cash flows of the underlying assets and monitored for other potential triggering events. Adjustments are made in the event that estimated undiscounted net cash flows are less than the carrying value.</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is less than the carrying value of the assets being tested.</w:t>
      </w:r>
    </w:p>
    <w:p>
      <w:pPr>
        <w:spacing w:after="0" w:line="172"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Short-Term Borrowings. </w:t>
      </w:r>
      <w:r>
        <w:rPr>
          <w:rFonts w:ascii="Times New Roman" w:cs="Times New Roman" w:eastAsia="Times New Roman" w:hAnsi="Times New Roman"/>
          <w:sz w:val="18"/>
          <w:szCs w:val="18"/>
          <w:color w:val="auto"/>
        </w:rPr>
        <w:t>The Company’s subsidiaries in India have working capital facilities with several banks which are secured by its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The working capital facilities have a weighted average interest rate of 10.9% at December 31, 2014.</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Mylan Pharmaceuticals Inc. (“MPI”), a wholly owned subsidiary of the Company, also has a $400 million accounts receivable facility (“Receivables Facility”), which will expire in January 2018. Included in the Consolidated Balance Sheets at December 31, 2014 and December 31, 2013, respectively, are $325 million and $374 million of short-term borrowings, which are recorded as a secured loan. The receivables underlying any borrowings are included in accounts receivable, net, in the Consolidated Balance Sheets. There were $1.07 billion and $723.1 million of securitized accounts receivable at December 31, 2014 and 2013, respectively.</w:t>
      </w:r>
    </w:p>
    <w:p>
      <w:pPr>
        <w:spacing w:after="0" w:line="180"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Mylan recognizes net revenue for product sales when title and risk of loss pass to its customers and when provisions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estimates, including discounts, sales allowances, price adjustments, returns, chargebacks and other promotional programs, are reasonably determinable. The following briefly describes the nature of each provision and how such provisions are estimated.</w:t>
      </w:r>
    </w:p>
    <w:p>
      <w:pPr>
        <w:spacing w:after="0" w:line="17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Discounts are reductions to invoiced amounts offered to customers for payment within a specified period and are estimated upon sale utilizing historical customer payment experience.</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Volume-based sales allowances are offered to key customers to promote customer loyalty and encourage greater product sales. These programs provide that upon the attainment of pre-established volumes or the attainment of revenue milestones for a specified period, the customer receives credit against purchases. Other promotional programs are incentive programs periodically offered to our customers. The Company is able to estimate provisions for volume-based sales allowances and other promotional programs based on the specific terms in each agreement at the time of sale.</w:t>
      </w:r>
    </w:p>
    <w:p>
      <w:pPr>
        <w:spacing w:after="0" w:line="180" w:lineRule="exact"/>
        <w:rPr>
          <w:sz w:val="20"/>
          <w:szCs w:val="20"/>
          <w:color w:val="auto"/>
        </w:rPr>
      </w:pPr>
    </w:p>
    <w:p>
      <w:pPr>
        <w:ind w:right="460" w:firstLine="648"/>
        <w:spacing w:after="0" w:line="313" w:lineRule="auto"/>
        <w:rPr>
          <w:sz w:val="20"/>
          <w:szCs w:val="20"/>
          <w:color w:val="auto"/>
        </w:rPr>
      </w:pPr>
      <w:r>
        <w:rPr>
          <w:rFonts w:ascii="Times New Roman" w:cs="Times New Roman" w:eastAsia="Times New Roman" w:hAnsi="Times New Roman"/>
          <w:sz w:val="17"/>
          <w:szCs w:val="17"/>
          <w:color w:val="auto"/>
        </w:rPr>
        <w:t>Consistent with industry practice, Mylan maintains a return policy that allows customers to return product within a specified period prior and subsequent to the expiration date. The Company’s estimate of the provision for returns is generally based upon historical experience with actual returns.</w:t>
      </w:r>
    </w:p>
    <w:p>
      <w:pPr>
        <w:spacing w:after="0" w:line="13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Price adjustments, which include shelf stock adjustments, are credits issued to reflect decreases in the selling prices of products. Shelf stock adjustments are based upon the amount of product which the customer has remaining in its inventory at the time of the price reduction. Decreases in selling prices are discretionary decisions made by the Company to reflect market conditions. Amounts recorded for estimated price adjustments are based upon specified terms with direct customers, estimated launch dates of competing products, estimated declines in market price and, in the case of shelf stock adjustments, estimates of inventory held by the customer.</w:t>
      </w:r>
    </w:p>
    <w:p>
      <w:pPr>
        <w:spacing w:after="0" w:line="184"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agreements with certain indirect customers, such as independent pharmacies, managed care organizations, hospitals, nursing homes, governmental agencies and pharmacy benefit management companies, which establish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576" w:right="259" w:bottom="1440" w:gutter="0" w:footer="0" w:header="0"/>
        </w:sectPr>
      </w:pPr>
    </w:p>
    <w:bookmarkStart w:id="90" w:name="page91"/>
    <w:bookmarkEnd w:id="90"/>
    <w:p>
      <w:pPr>
        <w:ind w:right="260"/>
        <w:spacing w:after="0" w:line="258" w:lineRule="auto"/>
        <w:rPr>
          <w:sz w:val="20"/>
          <w:szCs w:val="20"/>
          <w:color w:val="auto"/>
        </w:rPr>
      </w:pPr>
      <w:r>
        <w:rPr>
          <w:rFonts w:ascii="Times New Roman" w:cs="Times New Roman" w:eastAsia="Times New Roman" w:hAnsi="Times New Roman"/>
          <w:sz w:val="18"/>
          <w:szCs w:val="18"/>
          <w:color w:val="auto"/>
        </w:rPr>
        <w:t>contract prices for certain products. The indirect customers then independently select a wholesaler from which to actually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presented net of allowances relating to the above provisions. No significant revisions were made to the methodology used in determining these provisions during the years ended December 31, 2014 and 2013. Such allowances were $1.63 billion and $1.24 billion at December 31, 2014 and 2013, respectively. Other current liabilities included $581.3 million and $281.1 million at December 31, 2014 and 2013, respectively, for certain sales allowances and other adjustments that are paid to indirect customers.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Royalty or profit share revenue from licensees, which are based on third-party sales of licensed products and technology, is recorded in accordance with the contract terms, when third-party sales can be reliably measured and collection of the funds is reasonably assured. Royalty revenue is included in other revenue in the Consolidated Statements of Operations.</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manufacturing and other service revenue when the service is performed or when the Company’s partners take ownership and title has passed, collectability is reasonably assured, the sales price is fixed or determinable, and there is persuasive evidence of an arrangement.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represents the percentage of consolidated third party net sales to Mylan’s major customers during 2014, 2013 and 2012.</w:t>
      </w:r>
    </w:p>
    <w:p>
      <w:pPr>
        <w:spacing w:after="0" w:line="200" w:lineRule="exact"/>
        <w:rPr>
          <w:sz w:val="20"/>
          <w:szCs w:val="20"/>
          <w:color w:val="auto"/>
        </w:rPr>
      </w:pPr>
    </w:p>
    <w:p>
      <w:pPr>
        <w:spacing w:after="0" w:line="24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Percentage of Third Party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24765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McKesson Corporation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8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AmeriSourceBergen Corporation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Cardinal Health, Inc.</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(“R&amp;D”) expenses are charged to operations as incurred.</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have been provided for using an asset and liability approach in which deferred income taxes reflect the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7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Common Share. </w:t>
      </w:r>
      <w:r>
        <w:rPr>
          <w:rFonts w:ascii="Times New Roman" w:cs="Times New Roman" w:eastAsia="Times New Roman" w:hAnsi="Times New Roman"/>
          <w:sz w:val="18"/>
          <w:szCs w:val="18"/>
          <w:color w:val="auto"/>
        </w:rPr>
        <w:t>Basic earnings per common share is computed by dividing net earnings attributable to Mylan Inc.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by the weighted average number of shares outstanding during the period. Diluted earnings per common share is computed by dividing net earnings attributable to Mylan Inc. common shareholders by the weighted average number of shares outstanding during the period increased by the number of additional shares that would have been outstanding related to potentially dilutive securities or instruments, if the impact is dilutive.</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September 15, 2008, concurrent with the sale of $575 million aggregate principal amount of Cash Convertible Notes due 2015 (the “Cash Convertible Notes”), Mylan entered into convertible note hedge and warrant transactions with certain counterparties. In connection with the consummation of the Transaction, the terms of the convertible note hedge were adjusted so that the cash settlement value will be based on New Mylan ordinary shares. The terms of the warrant transactions were also adjusted so that, from and after the consummation of the Transaction, we may settle the obligations under the warrant transaction by delivering New Mylan ordinary shares. Pursuant to the warrant transactions, as adjusted, the Company has sold to the counterparties warrants to purchase in the aggregate up to approximately 43.2 million shares of New Mylan ordinary shares, subject to certain anti-dilution adjustments, which under most circumstances represents the maximum number of shares to which the Cash Convertible Notes relate (based on the conversion reference rate at the time of issuance). The sold warrants had an exercise price of $20.00 and will be net share settled, meaning that Mylan will issue a number of shares per warrant corresponding to the difference between its share price at each warrant expiration date and the exercise price. The warrants meet the definition of derivatives under the guidance in the FASB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however, because these instruments have been determined to be indexed to the Company’s own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80" w:right="239" w:bottom="1440" w:gutter="0" w:footer="0" w:header="0"/>
        </w:sectPr>
      </w:pPr>
    </w:p>
    <w:bookmarkStart w:id="91" w:name="page92"/>
    <w:bookmarkEnd w:id="91"/>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stock and meet the criteria for equity classification under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(“ASC 815-40”), the warrants have been recorded in shareholders’ equity in the Consolidated Balance Sheets.</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2011, the Company entered into amendments with the counterparties to exchange the original warrants with exercise price of $20.00 (the “Old Warrants”) for new warrants with exercise price of $30.00 (the “New Warrants”). Approximately 41.0 million Old Warrants were exchanged for New Warrants. All other terms and settlement provisions of the Old Warrants remain unchanged in the New Warrants. The New Warrants meet the definition of derivatives under the guidance in ASC 815; however, because these instruments have been determined to be indexed to the Company’s own stock and meet the criteria for equity classification under ASC 815-40, the New Warrants have also been recorded in shareholders’ equity in the Consolidated Balance Sheets. The dilutive impact of the Old and New Warrants are included in the calculation of diluted earnings per share based upon the average market value of the Company’s common stock during the period as compared to the exercise price. For the year ended December 31, 2014, 2013 and 2012, 17.7 million, 5.1 million and 0.3 million, respectively, warrants were included in the calculation of diluted earnings per share.</w:t>
      </w:r>
    </w:p>
    <w:p>
      <w:pPr>
        <w:spacing w:after="0" w:line="18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Transaction, as discussed in Note 3, the terms of the convertible note hedge were adjusted so that the settlement value will be based on New Mylan ordinary shares. The terms of the warrant transactions were also adjusted so that, from and after the consummation of the Transaction, we may settle the obligations under the warrant transaction by delivering New Mylan ordinary shares.</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periodically authorizes the Company to repurchase common stock in the open market or through other methods. The Company repurchased approximately 28.5 million common shares at a cost of approximately $1.0 billion in 2013 and approximately 41.4 million common shares at a cost of approximately $1.0 billion in 2012. These amounts reflect transactions executed through December 31st of each year. Basic and diluted earnings per common share attributable to Mylan Inc. are calculated as follows:</w:t>
      </w:r>
    </w:p>
    <w:p>
      <w:pPr>
        <w:spacing w:after="0" w:line="200" w:lineRule="exact"/>
        <w:rPr>
          <w:sz w:val="20"/>
          <w:szCs w:val="20"/>
          <w:color w:val="auto"/>
        </w:rPr>
      </w:pPr>
    </w:p>
    <w:p>
      <w:pPr>
        <w:spacing w:after="0" w:line="203"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attributable to Mylan Inc. common shareholders (numerator):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640.9</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415.2</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 earnings per common share attributable to Mylan Inc.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attributable to Mylan Inc. common shareholders (numerator):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640.9</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awards and warrants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420.2</w:t>
            </w: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earnings per common share attributable to Mylan Inc.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 stock options or restricted stock awards were outstanding during the years ended December 31, 2014, 2013 and 2012 but were not included in the computation of diluted earnings per share for each respective period, because the effect would be anti-dilutive. Such anti-dilutive stock options or restricted stock awards represented 6.1 million, 1.0 million and 4.8 million shares for the years ended December 31, 2014, 2013 and 2012, respectively.</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fair value of stock-based compensation is recognized as expense in the Consolidated Statements of Operations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vesting period.</w:t>
      </w:r>
    </w:p>
    <w:p>
      <w:pPr>
        <w:spacing w:after="0" w:line="155"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From time to time the Company may enter into derivative financial instruments (mainly foreign currency exchange forward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swaps and purchased equity call options) designed to: 1) hedge the cash flows resulting from existing assets and liabilities and transactions expected to be entered into over the next twenty-four months in currencies other than the functional currency, 2) hedge the variability in interest expense on floating rate debt, 3) hedge the fair value of fixed-rate notes, 4) hedge against changes in interest rates that could impact future debt issuances, or 5) hedge cash or share payments required on conversion of issued convertible notes. Derivatives are recognized as assets or liabilities in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578" w:right="239" w:bottom="1440" w:gutter="0" w:footer="0" w:header="0"/>
        </w:sectPr>
      </w:pPr>
    </w:p>
    <w:bookmarkStart w:id="92" w:name="page93"/>
    <w:bookmarkEnd w:id="92"/>
    <w:p>
      <w:pPr>
        <w:ind w:right="160"/>
        <w:spacing w:after="0" w:line="258" w:lineRule="auto"/>
        <w:rPr>
          <w:sz w:val="20"/>
          <w:szCs w:val="20"/>
          <w:color w:val="auto"/>
        </w:rPr>
      </w:pPr>
      <w:r>
        <w:rPr>
          <w:rFonts w:ascii="Times New Roman" w:cs="Times New Roman" w:eastAsia="Times New Roman" w:hAnsi="Times New Roman"/>
          <w:sz w:val="18"/>
          <w:szCs w:val="18"/>
          <w:color w:val="auto"/>
        </w:rPr>
        <w:t>Consolidated Balance Sheets at their fair value. When the derivative instrument qualifies as a cash flow hedge, changes in the fair value are included in earnings or deferred through other comprehensive earnings depending on the nature and effectiveness of the offset. If a derivative instrument qualifies as a fair value hedge, the changes in the fair value, as well as the offsetting changes in the fair value of the hedged items, are included in interest expense. When such instruments do not qualify for hedge accounting the changes in fair value are recorded in the Consolidated Statements of Operations within other expense (income), net.</w:t>
      </w:r>
    </w:p>
    <w:p>
      <w:pPr>
        <w:spacing w:after="0" w:line="180"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The Company’s financial instruments consist primarily of short-term and long-term debt, interest rate swaps, forward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uses derivative financial instruments for the purpose of hedging foreign currency and interest rate exposures, which exist as part of ongoing business operations or to hedge cash or share payments required on conversion of issued convertible notes. The Company carries derivative instruments on the Consolidated Balance Sheets at fair value, determined by reference to market data such as forward rates for currencies, implied volatilities, and interest rate swap yield curves. The accounting for changes in the fair value of a derivative instrument depends on whether it has been designated and qualifies as part of a hedging relationship and, if so, the reason for holding it.</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 Accounting Pronouncements. </w:t>
      </w:r>
      <w:r>
        <w:rPr>
          <w:rFonts w:ascii="Times New Roman" w:cs="Times New Roman" w:eastAsia="Times New Roman" w:hAnsi="Times New Roman"/>
          <w:sz w:val="18"/>
          <w:szCs w:val="18"/>
          <w:color w:val="auto"/>
        </w:rPr>
        <w:t>In May 2014, the FASB issued revised accounting guidance on revenue recognition that will supersede nearly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existing revenue recognition guidance under U.S. GAAP. The core principal of this guidance is that an entity should recognize revenue when it transfers promised goods or services to customers in an amount that reflects the consideration which the entity expects to receive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is effective for fiscal years beginning after December 15, 2016, and for interim periods within those fiscal years and can be applied using a full retrospective or modified retrospective approach. The Company is currently assessing the impact of the adoption of this guidance on its financial position, results of operations and cash flows.</w:t>
      </w:r>
    </w:p>
    <w:p>
      <w:pPr>
        <w:spacing w:after="0" w:line="18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Abbott Branded Generics Business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July 13, 2014, the Company entered into a definitive agreement with Abbott Laboratories (“Abbott”) to acquire Abbott’s non-U.S. developed markets specialty and branded generics business (the “Business”) in an all-stock transaction. On November 4, 2014, the Company and Abbott entered into an amended and restated definitive agreement implementing the transaction (the “Transaction Agreement”). The transaction, defined below, closed on February 27, 2015, after receiving approval from Mylan’s shareholders on January 29, 2015. At closing, Abbott transferred the Business to Mylan N.V., (“New Mylan”) in exchange for 110 million ordinary shares of New Mylan. Immediately after the transfer of the Business, Mylan merged with a wholly owned subsidiary of New Mylan, (together with the transfer of the Business, the “Transaction”) with Mylan becoming a wholly owned indirect subsidiary of New Mylan. Mylan’s outstanding common stock was exchanged on a one to one basis for New Mylan ordinary shares. As a result of the Transaction, New Mylan’s corporate seat is located in Amsterdam, the Netherlands, and its principal executive offices are located in Potters Bar, United Kingdom. New Mylan will also have global centers of excellence in the U.S., Europe and India.</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Business includes more than 100 specialty and branded generic pharmaceutical products in five major therapeutic areas and includes several patent protected, novel and/or hard-to-manufacture products. As a result of the acquisition, Mylan N.V. has significantly expanded and strengthened its product portfolio in Europe, Japan, Canada, Australia and New Zealand.</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of the Transaction, which was on a debt-free basis, was $6.31 billion based on the closing price of Mylan stock as of the Transaction closing date, as reported by the NASDAQ Stock Market. As a result of the Transaction, Mylan shareholders own approximately 78% of New Mylan and Abbott’s affiliates own approximately 22% of New Mylan. New Mylan and Abbott entered into a shareholder agreement in connection with the Transaction.</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U.S. GAAP, New Mylan will use the purchase method of accounting to account for this Transaction with Mylan being treated as the accounting acquirer. Under the purchase method of accounting, the assets acquired and liabilities assumed in the Transaction will be recorded at their respective estimated fair values at the acquisition date. Approximately $50 million of expenses were incurred during the year ended December 31, 2014 that related to this acquisition.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580" w:right="279" w:bottom="1440" w:gutter="0" w:footer="0" w:header="0"/>
        </w:sectPr>
      </w:pPr>
    </w:p>
    <w:bookmarkStart w:id="93" w:name="page94"/>
    <w:bookmarkEnd w:id="93"/>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Due to the limited time since the acquisition date and limitations on access to Abbott’s financial information prior to the acquisition date, the initial accounting for the business combination was incomplete at March 2, 2015. As a result, the Company was unable to provide amounts recognized as of the acquisition date for major classes of assets and liabilities acquired and resulting from the Transaction, including information related to contingencies and goodwill. The Company anticipates that the majority of the goodwill will be assigned to the Generics segment and does not currently expect the goodwill recognized to be deductible for income tax purposes. Also, because the initial accounting for the Transaction is incomplete, the Company was unable to provide the supplemental pro forma revenue and earnings of the combined entity. Mylan N.V. will include this information in the Quarterly Report on Form 10-Q for the three months ended March 31, 2015.</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Agila Specialties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February 27, 2013, the Company announced that it had signed definitive agreements to acquire the Agila Specialties businesses (“Agila”), a developer, manufacturer and marketer of high-quality generic injectable products, from Strides Arcolab Limited (“Strides Arcolab”). The transaction closed on December 4, 2013, and the total purchase price was approximately $1.43 billion (net of cash acquired of $3.4 million), which included estimated contingent consideration of $250 million. During the third quarter of 2014, the Company entered into an agreement with Strides Arcolab to settle a portion of the contingent consideration for $150 million, for which the Company accrued $230 million at the acquisition date. As a result of this agreement, the Company recognized a gain of $80 million during the year ended December 31, 2014, which is included in other operating (income) expense, net in the Consolidated Statements of Operations. The remaining contingent consideration, which could total a maximum of $211 million, is primarily related to the satisfaction of certain regulatory conditions, including potential regulatory remediation costs and the resolution of certain pre-acquisition contingencies. The acquisition of Agila significantly expanded and strengthened Mylan injectables platform and portfolio, and also provided Mylan entry into certain new geographic markets.</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U.S. GAAP, the Company used the purchase method of accounting to account for this transaction. Under the purchase method of accounting, the assets acquired and liabilities assumed in the transaction were recorded at their respective estimated fair values at the acquisition date. During the six months ended June 30, 2014, adjustments were made to the preliminary amounts recorded at December 31, 2013 primarily related to working capital and deferred taxes. These adjustments are reflected in the values presented below and in the updated December 31, 2013 Consolidated Balance Sheet. The allocation of the $1.43 billion purchase price to the assets acquired and liabilities assumed for Agila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5"/>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 (excluding inventories)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436.0</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936.6</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(including equity method investment)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r>
      <w:tr>
        <w:trPr>
          <w:trHeight w:val="237"/>
        </w:trPr>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2,034.4</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7"/>
        </w:trPr>
        <w:tc>
          <w:tcPr>
            <w:tcW w:w="10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57"/>
        </w:trPr>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1,433.7</w:t>
            </w:r>
          </w:p>
        </w:tc>
      </w:tr>
      <w:tr>
        <w:trPr>
          <w:trHeight w:val="20"/>
        </w:trPr>
        <w:tc>
          <w:tcPr>
            <w:tcW w:w="10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amount allocated to IPR&amp;D represents an estimate of the fair value of purchased in-process technology for research projects that, as of the closing date of the acquisition, had not reached technological feasibility and had no alternative future use. The fair value of the IPR&amp;D was based on the excess earnings method, which utilizes forecasts of expected cash inflows (including estimates for ongoing costs) and other contributory charges. A discount rate of 13.0%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IPR&amp;D asset. The acquired IPR&amp;D projects are in various stages of completion and the estimated costs to complete these projects total approximately $30 million which is expected to be incurred through 2015. There are risks and uncertainties associated with the timely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796" w:right="239" w:bottom="1440" w:gutter="0" w:footer="0" w:header="0"/>
        </w:sectPr>
      </w:pPr>
    </w:p>
    <w:bookmarkStart w:id="94" w:name="page95"/>
    <w:bookmarkEnd w:id="94"/>
    <w:p>
      <w:pPr>
        <w:ind w:right="220"/>
        <w:spacing w:after="0" w:line="282" w:lineRule="auto"/>
        <w:rPr>
          <w:sz w:val="20"/>
          <w:szCs w:val="20"/>
          <w:color w:val="auto"/>
        </w:rPr>
      </w:pPr>
      <w:r>
        <w:rPr>
          <w:rFonts w:ascii="Times New Roman" w:cs="Times New Roman" w:eastAsia="Times New Roman" w:hAnsi="Times New Roman"/>
          <w:sz w:val="18"/>
          <w:szCs w:val="18"/>
          <w:color w:val="auto"/>
        </w:rPr>
        <w:t>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identified intangible assets of $280 million are comprised of $221 million of product rights and licenses that have a weighted average useful life of eight years and $59 million of customer relationships that have a weighted average useful life of five years. The equity method investment of $125 million represents the fair value of Agila’s 50% interest in Sagent Agila LLC (“Sagent Agila”). Payments for product rights and other, net on the Consolidated Statements of Cash Flows for the year ended December 31, 2014, includes payments totaling $120 million to acquire certain commercialization rights in the U.S. and other countries. The goodwill of $937 million arising from the acquisition consisted largely of the value of the employee workforce and the value of products to be developed in the future. All of the goodwill was assigned to Mylan’s Generics segment. At the date of the acquisition, the Company estimated that none of the goodwill recognized would be deductible for income tax purposes. As a result of a legal merger of the Indian subsidiaries of Agila with Mylan Laboratories Limited, which was approved by the relevant Indian regulatory authorities during the third quarter of 2014, approximately $711 million of goodwill related to the acquisition of Agila will be deductible for tax purposes,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Significant assumptions utilized in the valuation of identified intangible assets, the equity method investment and IPR&amp;D were based on company specific information and projections which are not observable in the market and are thus considered Level 3 measurements as defined by U.S.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Approximately $49.8 million of expenses were incurred during the year ended December 31, 2013 that related to this acquisition.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Results</w:t>
      </w:r>
    </w:p>
    <w:p>
      <w:pPr>
        <w:spacing w:after="0" w:line="22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presents supplemental unaudited pro forma information as if the acquisition of Agila had occurred on January 1, 2012. The unaudited pro forma results reflect certain adjustments related to past operating performance and acquisition accounting adjustments, such as increased amortization expense based on the fair valuation of assets acquired, the impact of acquisition financing, transaction costs and the related income tax effects. The unaudited pro forma results do not include any anticipated synergies which may be achievable subsequent to the acquisition date. Accordingly, the unaudited pro forma results are not necessarily indicative of the results that actually would have occurred had the acquisition been completed on January 1, 2012, nor are they indicative of the future operating results of the combined company.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020" w:type="dxa"/>
            <w:vAlign w:val="bottom"/>
          </w:tcPr>
          <w:p>
            <w:pPr>
              <w:spacing w:after="0"/>
              <w:rPr>
                <w:sz w:val="22"/>
                <w:szCs w:val="22"/>
                <w:color w:val="auto"/>
              </w:rPr>
            </w:pPr>
          </w:p>
        </w:tc>
        <w:tc>
          <w:tcPr>
            <w:tcW w:w="1700" w:type="dxa"/>
            <w:vAlign w:val="bottom"/>
            <w:gridSpan w:val="3"/>
          </w:tcPr>
          <w:p>
            <w:pPr>
              <w:jc w:val="right"/>
              <w:ind w:right="534"/>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7,036</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attributable to Mylan Inc. common shareholders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February 2, 2015, the Company signed a definitive agreement to acquire certain female health care businesses of Famy Care Limited (“Famy Care”), a specialty women’s health care company with global leadership in generic oral contraceptive products. The purchase price is $750 million in cash plus additional contingent payments of up to $50 million. The transaction is expected to close in the second half of 2015, subject to regulatory approvals and certain closing conditions.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January 30, 2015, the Company entered into a development and commercialization collaboration with Theravance Biopharma, Inc. (“Theravance Biopharma”) for the development and, subject to U.S. Food and Drug Administration (“FDA”) approval, commercialization of TD-4208, a novel once-daily nebulized long-acting muscarinic antagonist (“LAMA”) for chronic obstructive pulmonary disease (“COPD”) and other respiratory diseases. Under the terms of the agreement, Mylan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580" w:right="239" w:bottom="1440" w:gutter="0" w:footer="0" w:header="0"/>
        </w:sectPr>
      </w:pPr>
    </w:p>
    <w:bookmarkStart w:id="95" w:name="page96"/>
    <w:bookmarkEnd w:id="95"/>
    <w:p>
      <w:pPr>
        <w:ind w:right="60"/>
        <w:spacing w:after="0" w:line="255" w:lineRule="auto"/>
        <w:rPr>
          <w:sz w:val="20"/>
          <w:szCs w:val="20"/>
          <w:color w:val="auto"/>
        </w:rPr>
      </w:pPr>
      <w:r>
        <w:rPr>
          <w:rFonts w:ascii="Times New Roman" w:cs="Times New Roman" w:eastAsia="Times New Roman" w:hAnsi="Times New Roman"/>
          <w:sz w:val="18"/>
          <w:szCs w:val="18"/>
          <w:color w:val="auto"/>
        </w:rPr>
        <w:t>Theravance Biopharma will co-develop nebulized TD-4208 for COPD and other respiratory diseases. Theravance Biopharma will lead the U.S. registrational development program and Mylan will be responsible for reimbursement of Theravance Biopharma's costs for that program up until the approval of the first new drug application, after which costs will be shared. In addition, Mylan will be responsible for commercial manufacturing. In the U.S., Mylan will lead commercialization and Theravance Biopharma will retain the right to co-promote the product under a profit-sharing arrangement. In addition to funding the U.S. registrational development program, Mylan will pay Theravance Biopharma an initial payment of $15 million in the second quarter of 2015 and made a $30 million equity investment in Theravance Biopharma. Under the terms of the agreement, Theravance Biopharma is eligible to receive potential development and sales milestone payments totaling $220 million in the aggregate.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September 10, 2014, the Company entered into an agreement with Aspen Global Incorporated to acquire the U.S. commercialization, marketing and intellectual property rights related to Arixtra® Injection (“Arixtra”) and the authorized generic rights of Arixtra. The purchase price for this intangible asset was $300 million, of which $225 million was paid at the closing of the transaction on September 25, 2014. An additional $37.5 million was paid during the fourth quarter 2014, and is included in payments for product rights and other, net on the Consolidated Statements of Cash Flows. The remaining $37.5 million is held in escrow and will be released upon satisfaction of certain conditions. The asset will be amortized over an estimated useful life of ten years.</w:t>
      </w:r>
    </w:p>
    <w:p>
      <w:pPr>
        <w:spacing w:after="0" w:line="184"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On June 30, 2014, the Company acquired certain product rights and other intangible assets in, or for, Australia, New Zealand and Brazil. In accordance with U.S. GAAP, the Company used the purchase method of accounting to account for this transaction. The purchase price for these assets was $50.0 million. The purchase price allocation resulted in approximately $36.7 million of intangible assets which were included in product rights and licenses, and goodwill of approximately $13.3 million which was assigned to Mylan’s Generics segment. Significant assumptions utilized in the valuation of identified intangible assets were based on company specific information and projections which are not observable in the market and are thus considered Level 3 measurements as defined by U.S. GAAP. The acquisition did not have a material impact on the Company’s results of operations since the acquisition date.</w:t>
      </w:r>
    </w:p>
    <w:p>
      <w:pPr>
        <w:spacing w:after="0" w:line="17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Beginning in 2013, we established an exclusive long-term strategic collaboration with Pfizer Japan Inc. (“Pfizer Japan”) to develop, manufacture, distribute and market generic drugs in Japan. Under the agreement, both parties operate separate legal entities in Japan and collaborate on current and future generic products, sharing the costs and profits resulting from the collaboration. Mylan Japan’s responsibilities primarily consist of managing operations, including R&amp;D and manufacturing. Pfizer Japan’s responsibilities primarily consist of the commercialization of the combined generics portfolio and managing a combined marketing and sales effort.</w:t>
      </w:r>
    </w:p>
    <w:p>
      <w:pPr>
        <w:spacing w:after="0" w:line="18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2013, the Company completed the acquisition of four separate manufacturing operations located in India. The aggregate purchase price was approximately $76 million in cash. As part of the purchase price allocations, goodwill in the aggregate of approximately $20 million was recognized within the Generics segment. The acquisitions did not have a material impact on the Company’s results of operations since the acquisition dates.</w:t>
      </w:r>
    </w:p>
    <w:p>
      <w:pPr>
        <w:spacing w:after="0" w:line="17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Pr>
          <w:p>
            <w:pPr>
              <w:spacing w:after="0"/>
              <w:rPr>
                <w:sz w:val="17"/>
                <w:szCs w:val="17"/>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3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46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4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864.1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Pr>
          <w:p>
            <w:pPr>
              <w:spacing w:after="0"/>
              <w:rPr>
                <w:sz w:val="17"/>
                <w:szCs w:val="17"/>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747.0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1,665.5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employee benefit plan accruals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sales allowances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1,396.6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Contingent consideration included in other current liabilities is $20 million and $250 million at December 31, 2014 and 2013, respectively. Contingent consideration included in other long-term obligations is $450.0 million and $414.6 million at December 31, 2014 and 2013, respectively. Included in prepaid expenses and other current assets is $134.1 million and $129.5 million of restricted cash at December 31, 2014 and 2013, respectively. An additional $100 million of restricted cash is classified as a component of other long-term assets at December 31, 2014 and 2013, principally related to amounts deposited in escrow, or restricted accounts, for potential contingent consideration payments related to the Agila acquisition.</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equity method investments in clean energy investments, whose activities qualify for income tax credits under Section 45 of the Internal Revenue Code of 1986, as amended (the “Code”), totaled $437.5 million and $401.7 million at December 31, 2014 and 2013, respectively, and are included in other assets in the Consolidated Balance Sheets. Liabilities related to these investments totaled $472.7 million and $415.4 million at December 31, 2014 and 2013, respectively. At December 31, 2014, $412.9 million of these liabilities are included in other long-term obligations and $59.8 million are included in other current liabilities in the Consolidated Balance Sheets.</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part of the Agila acquisition, the Company acquired a 50% interest in Sagent Agila, which was established in 2007 between Agila and Sagent Pharmaceuticals, Inc. and is accounted for using the equity method of accounting. Sagent Agila was established to allow for the development, manufacturing and distribution of certain generic injectable products in the U.S. market. The initial term of the venture expires upon the tenth anniversary of its formation. The fair value of the 50% interest was valued at $125 million and is accounted for using the equity method of accounting. The equity method investment included in other assets totaled $109.9 million and $123.2 million at December 31, 2014 and 2013, respectively, in the Consolidated Balance Sheets.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802" w:right="239" w:bottom="1440" w:gutter="0" w:footer="0" w:header="0"/>
        </w:sectPr>
      </w:pPr>
    </w:p>
    <w:bookmarkStart w:id="97" w:name="page98"/>
    <w:bookmarkEnd w:id="97"/>
    <w:p>
      <w:pPr>
        <w:ind w:left="340" w:hanging="332"/>
        <w:spacing w:after="0"/>
        <w:tabs>
          <w:tab w:leader="none" w:pos="3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2014 and 2013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Generics Segment</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Specialty Segment</w:t>
            </w: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3,194.1</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3,900.6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3,515.6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Transfers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4,725.5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4,340.5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Divestment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3,700.2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4,049.3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4,434.3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3,700.2</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4,049.3</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80" w:hanging="652"/>
        <w:spacing w:after="0" w:line="218" w:lineRule="auto"/>
        <w:tabs>
          <w:tab w:leader="none" w:pos="66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a result of the January 1, 2013 reorganization of certain components between the Generics and Specialty segments, the Company was required to reassign a portion of the carrying amount of goodwill to the Specialty segment.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576" w:right="2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December 31, 2014 and 2013: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 and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rights and licenses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3,895.8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748.9</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4,644.7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2,297.6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2,347.1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2013</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Patents and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rights and licenses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2,171.3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839.1</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4,689.2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2,171.3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2,517.9</w:t>
            </w:r>
          </w:p>
        </w:tc>
        <w:tc>
          <w:tcPr>
            <w:tcW w:w="0" w:type="dxa"/>
            <w:vAlign w:val="bottom"/>
          </w:tcPr>
          <w:p>
            <w:pPr>
              <w:spacing w:after="0"/>
              <w:rPr>
                <w:sz w:val="1"/>
                <w:szCs w:val="1"/>
                <w:color w:val="auto"/>
              </w:rPr>
            </w:pPr>
          </w:p>
        </w:tc>
      </w:tr>
      <w:tr>
        <w:trPr>
          <w:trHeight w:val="27"/>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Other intangibles consist principally of customer lists and contracts.</w:t>
      </w:r>
    </w:p>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Product rights and licenses are primarily comprised of the products marketed at the time of acquisition. These product rights and licenses relate to numerous individual products, the net book value of which, by therapeutic category,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Allergy</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Anti-infectives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Antineoplastic</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Central Nervous System</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Dermatological</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Endocrine and Metabolic</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Gastrointestinal</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Hematological Agents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Respiratory System</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1,489.2</w:t>
            </w:r>
          </w:p>
        </w:tc>
        <w:tc>
          <w:tcPr>
            <w:tcW w:w="100" w:type="dxa"/>
            <w:vAlign w:val="bottom"/>
          </w:tcPr>
          <w:p>
            <w:pPr>
              <w:spacing w:after="0"/>
              <w:rPr>
                <w:sz w:val="20"/>
                <w:szCs w:val="20"/>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1,541.4</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Other consists of numerous therapeutic classes, none of which individually exceeds 5% of total product rights and licenses.</w:t>
      </w:r>
    </w:p>
    <w:p>
      <w:pPr>
        <w:spacing w:after="0" w:line="19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 which is classified primarily within cost of sales in the Consolidated Statements of Operations, for the years ended December 31, 2014, 2013 and 2012 was $393.8 million, $363.7 million and $386.4 million, respectively. Amortization expense for the years ended December 31, 2014, 2013 and 2012 includes intangible asset impairment charges of $27.7 million, $18.0 million and $41.6 million, respectively. Excluding the impact of the Transaction, amortization expense 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580" w:right="239" w:bottom="1440" w:gutter="0" w:footer="0" w:header="0"/>
        </w:sectPr>
      </w:pPr>
    </w:p>
    <w:bookmarkStart w:id="99" w:name="page100"/>
    <w:bookmarkEnd w:id="99"/>
    <w:p>
      <w:pPr>
        <w:ind w:right="20"/>
        <w:spacing w:after="0" w:line="282" w:lineRule="auto"/>
        <w:rPr>
          <w:sz w:val="20"/>
          <w:szCs w:val="20"/>
          <w:color w:val="auto"/>
        </w:rPr>
      </w:pPr>
      <w:r>
        <w:rPr>
          <w:rFonts w:ascii="Times New Roman" w:cs="Times New Roman" w:eastAsia="Times New Roman" w:hAnsi="Times New Roman"/>
          <w:sz w:val="18"/>
          <w:szCs w:val="18"/>
          <w:color w:val="auto"/>
        </w:rPr>
        <w:t>expected to be approximately $363 million, $281 million, $239 million, $195 million and $132 million for the years ended December 31, 2015 through 2019, respectively.</w:t>
      </w:r>
    </w:p>
    <w:p>
      <w:pPr>
        <w:spacing w:after="0" w:line="162" w:lineRule="exact"/>
        <w:rPr>
          <w:sz w:val="20"/>
          <w:szCs w:val="20"/>
          <w:color w:val="auto"/>
        </w:rPr>
      </w:pPr>
    </w:p>
    <w:p>
      <w:pPr>
        <w:jc w:val="both"/>
        <w:ind w:right="400" w:firstLine="648"/>
        <w:spacing w:after="0" w:line="313" w:lineRule="auto"/>
        <w:rPr>
          <w:sz w:val="20"/>
          <w:szCs w:val="20"/>
          <w:color w:val="auto"/>
        </w:rPr>
      </w:pPr>
      <w:r>
        <w:rPr>
          <w:rFonts w:ascii="Times New Roman" w:cs="Times New Roman" w:eastAsia="Times New Roman" w:hAnsi="Times New Roman"/>
          <w:sz w:val="17"/>
          <w:szCs w:val="17"/>
          <w:color w:val="auto"/>
        </w:rPr>
        <w:t>Indefinite-lived intangibles, such as the Company’s IPR&amp;D assets, are tested at least annually for impairment, but they may be tested whenever certain impairment indicators are present. Impairment is determined to exist when the fair value is less than the carrying value of the assets being tested.</w:t>
      </w:r>
    </w:p>
    <w:p>
      <w:pPr>
        <w:spacing w:after="0" w:line="13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Company performed its annual impairment review of certain IPR&amp;D assets during the third quarter of 2014. This review of IPR&amp;D assets principally relates to assets acquired as part of the Agila acquisition in December 2013, the respiratory delivery platform acquisition in December 2011 and the Bioniche Pharma acquisition in September 2010. During the year ended December 31, 2014, the Company recorded $17.7 million of impairment charges related to the Agila IPR&amp;D assets, which was recorded as a component of amortization expense. For the year ended December 31, 2013, the Company recorded $18.0 million of impairment charges related to the Bioniche Pharma IPR&amp;D assets, which was recorded as a component of amortization expense. These impairment charges resulted from the Company’s estimate of the fair value of these assets, which was based upon updated forecasts and commercial development plans, compared with the assigned fair values at the acquisition date. The fair value was determined based upon detailed valuations employing the income approach which utilized Level 3 inputs, as defined in Note 6.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10% and 12% were utilized in the valuations performed during the third quarter of 2014. A discount rate of approximately 10% was utilized in each valuation during the third quarter of 2013. Changes to any of the Company’s assumptions may result in a further reduction to the estimated fair value of the IPR&amp;D asset. During the years ended December 31, 2014 and 2013, approximately $60.3 million and $6.5 million, respectively, was reclassified from acquired IPR&amp;D to product rights and licenses.</w:t>
      </w:r>
    </w:p>
    <w:p>
      <w:pPr>
        <w:spacing w:after="0" w:line="19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monitors long-lived intangible assets for potential triggering events or changes in circumstances that would indicate that the carrying amount of the asset may not be recoverable. During the year ended December 31, 2014, the Company recorded impairment charges of approximately $10.0 million related to product rights and licenses, which was recorded as a component of amortization expense.</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Also during the year ended December 31, 2014, the Company made cash payments of approximately $383 million for products rights and licenses, of which approximately $120 million related to the Company’s purchase of certain commercialization rights in the U.S. and other countries related to the Agila acquisition and approximately $263 million related to the Company’s purchase of the U.S. commercialization, marketing and intellectual property rights of Arixtra and the authorized generic rights of Arixtra.</w:t>
      </w:r>
    </w:p>
    <w:p>
      <w:pPr>
        <w:spacing w:after="0" w:line="176"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2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Mylan is exposed to certain financial risks relating to its ongoing business operations. The primary financial risks that are managed by using derivative instruments are foreign currency risk, interest rate risk and equity risk.</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7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foreign currency risk, Mylan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Consolidated Balance Sheets. Any gains or losses on the foreign exchange forward contracts are recognized in earnings in the period incurred in the Consolidated Statements of Operations.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on the Consolidated Balance Sheets. Any changes in fair value are included in earnings or deferred through accumulated other comprehensive earnings (“AOCE”), depending on the nature and effectiveness of the offset.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580" w:right="279" w:bottom="1440" w:gutter="0" w:footer="0" w:header="0"/>
        </w:sectPr>
      </w:pPr>
    </w:p>
    <w:bookmarkStart w:id="100" w:name="page101"/>
    <w:bookmarkEnd w:id="10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7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enters into interest rate swaps in order to manage interest rate risk associated with the Company’s fixed- and floating-rate debt. These derivative instruments are measured at fair value and reported as current assets or current liabilities on the Consolidated Balance Sheets.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 In conjunction with a senior notes offering during the second quarter of 2013 and the related repayment of the Company’s variable-rate 2011 Term Loans (the “2011 Term Loans”) (see Note 7), the Company terminated all existing interest rate swaps that had previously fixed the interest rate on a portion of the Company’s variable-rate 2011 Term Loans. As a result, during the year ended December 31, 2013, approximately $0.8 million that had previously been classified in AOCE was recognized into other expense (income), net, as the forecasted transaction was no longer probable of occurring. In addition, $750 million of floating-rate debt interest rate swaps that were extended through forward-starting swaps were terminated during the year ended December 31, 2013 in the transaction described above. There were no interest rate swaps on floating-rate debt as of December 31, 2014 or December 31, 2013.</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anticipation of issuing fixed-rate debt, the Company may use treasury rate locks or forward starting interest rate swaps that are designated as cash flow hedges. During the first and third quarters of 2013, the Company entered into a series of forward starting swaps to hedge against changes in interest rates that could impact the Company’s expected financing of the acquisition of Agila. These interest rate swaps were designated as cash flow hedges of expected future interest payments. In February 2013, the Company executed interest rate swaps with a notional value of $1.07 billion. In September 2013, the terms of these swaps were extended to an effective date in November 2013 and the Company executed an additional $930 million of notional value of interest rate swaps with an effective date in November 2013. In November 2013 all of the swaps were terminated in conjunction with the completion of the financing of the Agila acquisition. A gain of $41.2 million was recorded in AOCE, which is being amortized over the term of the related financing transactions. In addition, $0.8 million of hedge ineffectiveness was recorded in other expense (income), net.</w:t>
      </w:r>
    </w:p>
    <w:p>
      <w:pPr>
        <w:spacing w:after="0" w:line="18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April 2013, the Company entered into a series of forward starting swaps to hedge against changes in interest rates that could impact future debt issuances. These swaps are designated as cash flow hedges of expected future interest payments related to these issuances. The Company executed $1.80 billion of notional value swaps with effective dates ranging from December 2014 to August 2015. These swaps have maturities of ten years.</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August 2014, the Company entered into a series of forward starting swaps to hedge against changes in interest rates that could impact future debt issuances. These swaps are designed as cash flow hedges of expected future issuances of long-term bonds. The Company executed $575 million of notional value swaps with an effective date of September 2015. These swaps have a maturity of ten years.</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2014, the Company terminated certain forward starting swaps designated as cash flow hedges of expected future issuances of long-term bonds. As a result of this termination, the Company has recognized a loss of approximately $14.6 million during the year ended December 31, 2014.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interest rate swaps designated as fair value hedges convert the fixed rate on a portion of the Company's fixed-rate senior notes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rate. These interest rate swaps designated as fair value hedges are measured at fair value and reported as assets or current liabilities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Any changes in the fair value of these derivative instruments, as well as the offsetting change in fair value of the portion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fixed-rate debt being hedged, is included in interest expense. In June 2013, the Company entered into interest rate swaps with a notional value of $500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were designated as hedges of the Company’s 1.800% Senior Notes due 2016. In December 2013, the Company entered into interest rate swaps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notional value of $750 million that were designated as hedges of the Company’s 3.125% Senior Notes due 2023. The variable rate was 0.57%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The total notional amount of the Company’s interest rate swaps on fixed-rate debt was $750 million and $1.8 billion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and 2013, respectively.</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October 2014, the Company terminated certain fair value swaps that had previously fixed the interest rate on its 1.800% Senior Notes due 2016. As a result, during the year ended December 31, 2014, the Company recognized a gain of approximately $0.4 million. This amount will be amortized to earnings over the remaining life of the 1.350% Senior Notes due 2016.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630" w:right="239" w:bottom="1440" w:gutter="0" w:footer="0" w:header="0"/>
        </w:sectPr>
      </w:pPr>
    </w:p>
    <w:bookmarkStart w:id="101" w:name="page102"/>
    <w:bookmarkEnd w:id="101"/>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November 2014, in conjunction with the redemption of the Company’s 6.000% Senior Notes due 2018, the Company’s counterparties exercised their right to terminate certain swaps that had been designated as a fair value hedge on a portion of the Company’s 6.000% Senior Notes due 2018. As a result, during the year ended December 31, 2014, the Company received a payment of approximately $15 million related to the swap termination, which was recognized into other expense (income), net.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aggregate fair value of all such contracts that are in a liability position at December 31, 2014 is $19.6 million. The Company is not subject to any obligations to post collateral under derivative instrument contracts.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maintains significant credit exposure arising from the convertible note hedge on its Cash Convertible Notes. In connection with the consummation of the Transaction, the Company and New Mylan executed a supplemental indenture that amended the indenture governing the Cash Convertible Notes so that, among other things, all relevant determinations for purposes of the cash conversion rights to which holders may be entitled from time-to-time in accordance with such indenture shall be made by reference to the New Mylan ordinary shares. As adjusted in connection with the consummation of the Transaction, holders may convert their Cash Convertible Notes subject to certain conversion provisions determined by a) the market price of New Mylan’s ordinary shares, b) specified distributions to common shareholders, c) a fundamental change, as defined in the indenture governing the Cash Convertible Notes, or d) certain time periods specified in the indenture governing the Cash Convertible Notes. The conversion feature can only be settled in cash and, therefore, it is bifurcated from the Cash Convertible Notes and treated as a separate derivative instrument. In order to offset the cash flow risk associated with the cash conversion feature, the Company entered into a convertible note hedge with certain counterparties. In connection with the consummation of the Transaction, the terms of the convertible note hedge were adjusted so that the cash settlement value will be based on New Mylan ordinary shares. Both the cash conversion feature and the purchased convertible note hedge are measured at fair value with gains and losses recorded in the Company’s Consolidated Statements of Operations. Also, in conjunction with the issuance of the Cash Convertible Notes, the Company entered into several warrant transactions with certain counterparties. In connection with the consummation of the Transaction, the terms of the warrants were also adjusted so that, from and after the consummation of the Transaction, we may settle the obligations under the warrant transaction by delivering New Mylan ordinary shares. The warrants meet the definition of derivatives; however, because these instruments have been determined to be indexed to the Company’s own stock, and have been recorded in shareholders’ equity in the Company’s Consolidated Balance Sheets, the instruments are exempt from the scope of U.S. GAAP guidance regarding accounting for derivative instruments and hedging activities and are not subject to the fair value provisions set forth therein.</w:t>
      </w:r>
    </w:p>
    <w:p>
      <w:pPr>
        <w:spacing w:after="0" w:line="19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December 31, 2014, the convertible note hedge had a total fair value of $1.85 billion, which reflects the maximum loss that would be incurred should the parties fail to perform according to the terms of the contract. The counterparties are highly rated diversified financial institutions with both commercial and investment banking operations. The counterparties are required to post collateral against this obligation should they be downgraded below thresholds specified in the contract. Eligible collateral is comprised of a wide range of financial securities with a valuation discount percentage reflecting the associated risk.</w:t>
      </w:r>
    </w:p>
    <w:p>
      <w:pPr>
        <w:spacing w:after="0" w:line="18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failure of any counterparties to perform under any agreements.</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a gross basis in the Consolidated Balance Sheets. Accordingly, there are no offsetting amounts that net assets against liabilities. The asset and liability balances presented in the tables below reflect the gross amounts of derivatives recorded in the Company’s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580" w:right="2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4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4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57"/>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4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80" w:type="dxa"/>
            <w:vAlign w:val="bottom"/>
            <w:gridSpan w:val="7"/>
          </w:tcPr>
          <w:p>
            <w:pPr>
              <w:jc w:val="center"/>
              <w:ind w:left="3554"/>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4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Purchased cash convertible note hedge</w:t>
            </w:r>
          </w:p>
        </w:tc>
        <w:tc>
          <w:tcPr>
            <w:tcW w:w="44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1,859.0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1,309.4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debt and other long-term</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conversion feature of Cash Convertible Notes</w:t>
            </w:r>
          </w:p>
        </w:tc>
        <w:tc>
          <w:tcPr>
            <w:tcW w:w="44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1,853.5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Long-term debt</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1,855.8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1,308.4</w:t>
            </w:r>
          </w:p>
        </w:tc>
        <w:tc>
          <w:tcPr>
            <w:tcW w:w="0" w:type="dxa"/>
            <w:vAlign w:val="bottom"/>
          </w:tcPr>
          <w:p>
            <w:pPr>
              <w:spacing w:after="0"/>
              <w:rPr>
                <w:sz w:val="1"/>
                <w:szCs w:val="1"/>
                <w:color w:val="auto"/>
              </w:rPr>
            </w:pPr>
          </w:p>
        </w:tc>
      </w:tr>
      <w:tr>
        <w:trPr>
          <w:trHeight w:val="20"/>
        </w:trPr>
        <w:tc>
          <w:tcPr>
            <w:tcW w:w="51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060" w:type="dxa"/>
            <w:vAlign w:val="bottom"/>
            <w:gridSpan w:val="12"/>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on the Consolidated Statements of Operations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3980" w:type="dxa"/>
            <w:vAlign w:val="bottom"/>
            <w:gridSpan w:val="6"/>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Derivatives in Fair Value Hedging Relationships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8"/>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Earnings on</w:t>
            </w: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3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Earnings on Derivatives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7"/>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420"/>
          </w:cols>
          <w:pgMar w:left="240" w:top="576" w:right="2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7"/>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Amount of (Loss) or Gain Recognized in Earnings on</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Hedging Items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5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 of (Loss) or Gain Recognized</w:t>
            </w: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vMerge w:val="continue"/>
          </w:tcPr>
          <w:p>
            <w:pPr>
              <w:spacing w:after="0"/>
              <w:rPr>
                <w:sz w:val="16"/>
                <w:szCs w:val="16"/>
                <w:color w:val="auto"/>
              </w:rPr>
            </w:pPr>
          </w:p>
        </w:tc>
        <w:tc>
          <w:tcPr>
            <w:tcW w:w="2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in Earnings on Hedged Items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 Senior Notes (1.800% coupon)</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 Senior Notes (6.000% coupon)</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 Senior Notes (6.000% coupon)</w:t>
            </w: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 Senior Notes (3.125% coupon)</w:t>
            </w: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on the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5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Amount of (Loss) or Gain</w:t>
      </w:r>
    </w:p>
    <w:p>
      <w:pPr>
        <w:jc w:val="center"/>
        <w:ind w:left="7800"/>
        <w:spacing w:after="0" w:line="229" w:lineRule="auto"/>
        <w:rPr>
          <w:sz w:val="20"/>
          <w:szCs w:val="20"/>
          <w:color w:val="auto"/>
        </w:rPr>
      </w:pPr>
      <w:r>
        <w:rPr>
          <w:rFonts w:ascii="Times New Roman" w:cs="Times New Roman" w:eastAsia="Times New Roman" w:hAnsi="Times New Roman"/>
          <w:sz w:val="14"/>
          <w:szCs w:val="14"/>
          <w:b w:val="1"/>
          <w:bCs w:val="1"/>
          <w:color w:val="auto"/>
        </w:rPr>
        <w:t>Recognized in AOCE (Net of Tax)</w:t>
      </w:r>
    </w:p>
    <w:p>
      <w:pPr>
        <w:jc w:val="center"/>
        <w:ind w:left="7800"/>
        <w:spacing w:after="0" w:line="222" w:lineRule="auto"/>
        <w:rPr>
          <w:sz w:val="20"/>
          <w:szCs w:val="20"/>
          <w:color w:val="auto"/>
        </w:rPr>
      </w:pPr>
      <w:r>
        <w:rPr>
          <w:rFonts w:ascii="Times New Roman" w:cs="Times New Roman" w:eastAsia="Times New Roman" w:hAnsi="Times New Roman"/>
          <w:sz w:val="14"/>
          <w:szCs w:val="14"/>
          <w:b w:val="1"/>
          <w:bCs w:val="1"/>
          <w:color w:val="auto"/>
        </w:rPr>
        <w:t>on Derivative</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24765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8"/>
          </w:tcPr>
          <w:p>
            <w:pPr>
              <w:jc w:val="center"/>
              <w:ind w:left="438"/>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into Earnings</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Loss Reclassified from AOCE into</w:t>
            </w: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(Effective Portion)</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0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8"/>
          </w:tcPr>
          <w:p>
            <w:pPr>
              <w:jc w:val="center"/>
              <w:ind w:left="458"/>
              <w:spacing w:after="0" w:line="149" w:lineRule="exact"/>
              <w:rPr>
                <w:sz w:val="20"/>
                <w:szCs w:val="20"/>
                <w:color w:val="auto"/>
              </w:rPr>
            </w:pPr>
            <w:r>
              <w:rPr>
                <w:rFonts w:ascii="Times New Roman" w:cs="Times New Roman" w:eastAsia="Times New Roman" w:hAnsi="Times New Roman"/>
                <w:sz w:val="14"/>
                <w:szCs w:val="14"/>
                <w:b w:val="1"/>
                <w:bCs w:val="1"/>
                <w:color w:val="auto"/>
              </w:rPr>
              <w:t>Excluded from the Assessment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of Hedge Effectiveness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Excluded from the Assessment</w:t>
            </w: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Hedge Effectiveness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57"/>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2014, the Company expects that approximately $29 million of pre-tax net losses on cash flow hedges will be reclassified from AOCE into earnings during the next twelve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723"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on the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280" w:type="dxa"/>
            <w:vAlign w:val="bottom"/>
          </w:tcPr>
          <w:p>
            <w:pPr>
              <w:spacing w:after="0"/>
              <w:rPr>
                <w:sz w:val="12"/>
                <w:szCs w:val="12"/>
                <w:color w:val="auto"/>
              </w:rPr>
            </w:pPr>
          </w:p>
        </w:tc>
        <w:tc>
          <w:tcPr>
            <w:tcW w:w="2520" w:type="dxa"/>
            <w:vAlign w:val="bottom"/>
            <w:gridSpan w:val="6"/>
          </w:tcPr>
          <w:p>
            <w:pPr>
              <w:jc w:val="center"/>
              <w:ind w:left="519"/>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 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30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or (Loss)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280" w:type="dxa"/>
            <w:vAlign w:val="bottom"/>
          </w:tcPr>
          <w:p>
            <w:pPr>
              <w:spacing w:after="0"/>
              <w:rPr>
                <w:sz w:val="12"/>
                <w:szCs w:val="12"/>
                <w:color w:val="auto"/>
              </w:rPr>
            </w:pPr>
          </w:p>
        </w:tc>
        <w:tc>
          <w:tcPr>
            <w:tcW w:w="2520" w:type="dxa"/>
            <w:vAlign w:val="bottom"/>
            <w:gridSpan w:val="6"/>
          </w:tcPr>
          <w:p>
            <w:pPr>
              <w:jc w:val="center"/>
              <w:ind w:left="519"/>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Earnings</w:t>
            </w: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4700" w:type="dxa"/>
            <w:vAlign w:val="bottom"/>
            <w:vMerge w:val="continue"/>
          </w:tcPr>
          <w:p>
            <w:pPr>
              <w:spacing w:after="0"/>
              <w:rPr>
                <w:sz w:val="5"/>
                <w:szCs w:val="5"/>
                <w:color w:val="auto"/>
              </w:rPr>
            </w:pPr>
          </w:p>
        </w:tc>
        <w:tc>
          <w:tcPr>
            <w:tcW w:w="30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conversion feature of Cash Convertible Notes</w:t>
            </w: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Purchased cash convertible note hedge</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57"/>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178" w:lineRule="exact"/>
        <w:rPr>
          <w:sz w:val="20"/>
          <w:szCs w:val="20"/>
          <w:color w:val="auto"/>
        </w:rPr>
      </w:pPr>
    </w:p>
    <w:p>
      <w:pPr>
        <w:ind w:left="1460" w:right="200" w:hanging="809"/>
        <w:spacing w:after="0" w:line="282" w:lineRule="auto"/>
        <w:tabs>
          <w:tab w:leader="none" w:pos="14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 value hierarchy gives the highest priority to Level 1 inputs.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225" w:lineRule="exact"/>
        <w:rPr>
          <w:sz w:val="20"/>
          <w:szCs w:val="20"/>
          <w:color w:val="auto"/>
        </w:rPr>
      </w:pPr>
    </w:p>
    <w:p>
      <w:pPr>
        <w:ind w:left="1460" w:right="460" w:hanging="809"/>
        <w:spacing w:after="0" w:line="282" w:lineRule="auto"/>
        <w:tabs>
          <w:tab w:leader="none" w:pos="14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 inputs.</w:t>
      </w:r>
    </w:p>
    <w:p>
      <w:pPr>
        <w:spacing w:after="0" w:line="16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576" w:right="2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23"/>
                <w:szCs w:val="23"/>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securities — exchange traded funds</w:t>
            </w:r>
          </w:p>
        </w:tc>
        <w:tc>
          <w:tcPr>
            <w:tcW w:w="1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trading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bonds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equity securities: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Biosciences industry</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equity securities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cash convertible note hedge</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1,853.5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2,072.9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conversion feature of Cash Convertible Notes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1,853.5</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2,375.7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23"/>
                <w:szCs w:val="23"/>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23"/>
                <w:szCs w:val="2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23"/>
                <w:szCs w:val="23"/>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securities — exchange traded funds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equity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Biosciences industry</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equity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Purchased cash convertible note hedge</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 derivative liabilities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conversion feature of Cash Convertible Notes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2,041.9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For financial assets and liabilities that utilize Level 2 inputs, the Company utilizes both direct and indirect observable price quotes, including the LIBOR yield curve, foreign exchange forward prices, and bank price quotes. For the years ended December 31, 2014 and 2013, there were no transfers between Level 1 and 2 of the fair value hierarchy. Below is a summary of valuation techniques for Level 1 and Level 2 financial assets and liabilities:</w:t>
      </w:r>
    </w:p>
    <w:p>
      <w:pPr>
        <w:spacing w:after="0" w:line="156" w:lineRule="exact"/>
        <w:rPr>
          <w:sz w:val="20"/>
          <w:szCs w:val="20"/>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84" w:lineRule="auto"/>
        <w:tabs>
          <w:tab w:leader="none" w:pos="11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 valued at the active quoted market price from broker or dealer quotations or transparent pricing sources at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58" w:lineRule="exact"/>
        <w:rPr>
          <w:rFonts w:ascii="Times New Roman" w:cs="Times New Roman" w:eastAsia="Times New Roman" w:hAnsi="Times New Roman"/>
          <w:sz w:val="18"/>
          <w:szCs w:val="18"/>
          <w:i w:val="1"/>
          <w:iCs w:val="1"/>
          <w:color w:val="auto"/>
        </w:rPr>
      </w:pPr>
    </w:p>
    <w:p>
      <w:pPr>
        <w:ind w:left="1140" w:right="480" w:hanging="322"/>
        <w:spacing w:after="0" w:line="284"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w:t>
      </w:r>
    </w:p>
    <w:p>
      <w:pPr>
        <w:spacing w:after="0" w:line="158" w:lineRule="exact"/>
        <w:rPr>
          <w:rFonts w:ascii="Times New Roman" w:cs="Times New Roman" w:eastAsia="Times New Roman" w:hAnsi="Times New Roman"/>
          <w:sz w:val="18"/>
          <w:szCs w:val="18"/>
          <w:color w:val="auto"/>
        </w:rPr>
      </w:pPr>
    </w:p>
    <w:p>
      <w:pPr>
        <w:ind w:left="1140" w:right="400" w:hanging="322"/>
        <w:spacing w:after="0" w:line="284"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Available-for-sale equity securities </w:t>
      </w:r>
      <w:r>
        <w:rPr>
          <w:rFonts w:ascii="Times New Roman" w:cs="Times New Roman" w:eastAsia="Times New Roman" w:hAnsi="Times New Roman"/>
          <w:sz w:val="18"/>
          <w:szCs w:val="18"/>
          <w:color w:val="auto"/>
        </w:rPr>
        <w:t>— valued using quoted stock prices from the London Exchange at the reporting date and translated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Dollars at prevailing spot exchange rates.</w:t>
      </w:r>
    </w:p>
    <w:p>
      <w:pPr>
        <w:spacing w:after="0" w:line="158" w:lineRule="exact"/>
        <w:rPr>
          <w:rFonts w:ascii="Times New Roman" w:cs="Times New Roman" w:eastAsia="Times New Roman" w:hAnsi="Times New Roman"/>
          <w:sz w:val="18"/>
          <w:szCs w:val="18"/>
          <w:color w:val="auto"/>
        </w:rPr>
      </w:pPr>
    </w:p>
    <w:p>
      <w:pPr>
        <w:ind w:left="1140" w:right="80" w:hanging="322"/>
        <w:spacing w:after="0" w:line="284"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swap derivative assets and liabilities </w:t>
      </w:r>
      <w:r>
        <w:rPr>
          <w:rFonts w:ascii="Times New Roman" w:cs="Times New Roman" w:eastAsia="Times New Roman" w:hAnsi="Times New Roman"/>
          <w:sz w:val="18"/>
          <w:szCs w:val="18"/>
          <w:color w:val="auto"/>
        </w:rPr>
        <w:t>— valued using the LIBOR/EURIBOR yield curves at the reporting date. Counterparties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contracts are highly rated financial institutions.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804" w:right="239" w:bottom="1440" w:gutter="0" w:footer="0" w:header="0"/>
        </w:sectPr>
      </w:pPr>
    </w:p>
    <w:bookmarkStart w:id="107" w:name="page108"/>
    <w:bookmarkEnd w:id="107"/>
    <w:p>
      <w:pPr>
        <w:ind w:left="1140" w:right="1060" w:hanging="322"/>
        <w:spacing w:after="0" w:line="284"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Counterparties to these contracts are highly rated financial institutions.</w:t>
      </w:r>
    </w:p>
    <w:p>
      <w:pPr>
        <w:spacing w:after="0" w:line="158" w:lineRule="exact"/>
        <w:rPr>
          <w:rFonts w:ascii="Times New Roman" w:cs="Times New Roman" w:eastAsia="Times New Roman" w:hAnsi="Times New Roman"/>
          <w:sz w:val="18"/>
          <w:szCs w:val="18"/>
          <w:color w:val="auto"/>
        </w:rPr>
      </w:pPr>
    </w:p>
    <w:p>
      <w:pPr>
        <w:ind w:left="1140" w:right="100" w:hanging="322"/>
        <w:spacing w:after="0" w:line="267"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conversion feature of cash convertible notes and purchased convertible note hedge </w:t>
      </w:r>
      <w:r>
        <w:rPr>
          <w:rFonts w:ascii="Times New Roman" w:cs="Times New Roman" w:eastAsia="Times New Roman" w:hAnsi="Times New Roman"/>
          <w:sz w:val="18"/>
          <w:szCs w:val="18"/>
          <w:color w:val="auto"/>
        </w:rPr>
        <w:t>— valued using quoted prices for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convertible notes, its implied volatility and the quoted yield on the Company’s other long-term debt at the reporting date. Counterparties to the purchased convertible note hedge are highly rated financial institutions.</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the respiratory delivery platform, the Agila acquisition and certain other acquisitions. The measurement is calculated using unobservable inputs based on the Company’s own assumptions. For the respiratory platform and certain other acquisitions, significant unobservable inputs in the valuation include the probability and timing of future development and commercial milestones and future profit sharing payments. A discounted cash flow method was used to value contingent consideration at December 31, 2014 and 2013, which was calculated as the present value of the estimated future net cash flows using a market rate of return. Discount rates ranging from 0.8% to 11.3% were utilized in the valuation. For the Agila acquisition, significant unobservable inputs in the valuation include the probability of future payments to the seller of amounts withheld at the closing date. Significant changes in unobservable inputs could result in material changes to the contingent consideration liability. During the third quarter of 2014, the Company entered into an agreement with Strides Arcolab to settle a portion of the contingent consideration for $150 million, for which the Company accrued $230 million at the acquisition date. As a result of this agreement, the Company recognized a gain of $80 million during the year ended December 31, 2014, which is included in other operating (income) expense, net in the Consolidated Statements of Operations. During the years ended December 31, 2014 and 2013, accretion of $35.3 million and $32.3 million, respectively, was recorded in interest expense. A fair value adjustment to increase the liability of approximately $3.1 million during the year ended December 31, 2013, was recorded as a component of selling, general and administrative expense.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any future transacted financial asset or liability will be evaluated for the fair value election.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estimated fair value of available-for-sale securities, included in prepaid expenses and other current assets,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2013</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available-for-sale debt securities at fair value as of December 31, 2014,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Mature within one year</w:t>
            </w:r>
          </w:p>
        </w:tc>
        <w:tc>
          <w:tcPr>
            <w:tcW w:w="68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Mature in one to five years</w:t>
            </w:r>
          </w:p>
        </w:tc>
        <w:tc>
          <w:tcPr>
            <w:tcW w:w="6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Mature in five years and later</w:t>
            </w:r>
          </w:p>
        </w:tc>
        <w:tc>
          <w:tcPr>
            <w:tcW w:w="6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420" w:type="dxa"/>
            <w:vAlign w:val="bottom"/>
            <w:vMerge w:val="restart"/>
          </w:tcPr>
          <w:p>
            <w:pPr>
              <w:jc w:val="right"/>
              <w:ind w:right="435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4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6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108" w:name="page109"/>
    <w:bookmarkEnd w:id="108"/>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Receivables Facility, an accounts receivable securitization facility, with a committed balance of $400 million, although from time-to-time, the available amount of the Receivables Facility may be less than $400 million based on accounts receivable concentration limits and other eligibility requirements. In January 2015, the Receivables Facility was amended and restated, and its maturity was extended through January 2018.</w:t>
      </w:r>
    </w:p>
    <w:p>
      <w:pPr>
        <w:spacing w:after="0" w:line="176"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Receivables Facility, our subsidiary, MPI, sells certain accounts receivable to Mylan Securitization LLC (“Mylan Securitization”) a wholly owned special purpose entity which in turn sells a percentage ownership interest in the receivables to financial institutions and commercial paper conduits sponsored by financial institutions. MPI is the servicer of the receivables under the Receivables Facility. Purchases under the Receivables Facility will be repaid as accounts receivable are collected, with new purchases being advanced as new accounts receivable are originated by MPI. Mylan Securitization’s assets have been pledged to the agent in support of its obligations under the Receivables Facility.</w:t>
      </w:r>
    </w:p>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Any amounts outstanding under the facility will be recorded as a secured loan and the receivables underlying any borrowings will continue to be included in accounts receivable, net, in the Consolidated Balance Sheets of the Company.</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Receivables Facility contains requirements relating to the performance of the accounts receivable and covenants related to the Company. If we do not comply with the covenants under the Receivables Facility, our ability to use the Receivables Facility may be suspended and repayment of any outstanding balances under the Receivables Facility may be required.</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Consolidated Balance Sheets include $1.07 billion of accounts receivable balances sold to Mylan Securitization, as well as $325 million of short-term borrowings. The interest rate on borrowings under this facility was approximately 0.93% at December 31, 2014. As of December 31, 2013, the Consolidated Balance Sheets include $723.1 million of accounts receivable balances sold to Mylan Securitization, as well as $374 million of short-term borrowings. The interest rate on borrowings under this facility was approximately 0.93% at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7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 Term Loan</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76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Convertible Notes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1,828.3</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2016</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2016</w:t>
            </w:r>
          </w:p>
        </w:tc>
        <w:tc>
          <w:tcPr>
            <w:tcW w:w="71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(b)</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2018</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648.8</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2018</w:t>
            </w:r>
          </w:p>
        </w:tc>
        <w:tc>
          <w:tcPr>
            <w:tcW w:w="71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2019</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71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2023</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2023</w:t>
            </w:r>
          </w:p>
        </w:tc>
        <w:tc>
          <w:tcPr>
            <w:tcW w:w="718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2043</w:t>
            </w:r>
          </w:p>
        </w:tc>
        <w:tc>
          <w:tcPr>
            <w:tcW w:w="71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5"/>
                <w:szCs w:val="25"/>
                <w:color w:val="auto"/>
                <w:vertAlign w:val="superscript"/>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7,586.5</w:t>
            </w:r>
          </w:p>
        </w:tc>
        <w:tc>
          <w:tcPr>
            <w:tcW w:w="0" w:type="dxa"/>
            <w:vAlign w:val="bottom"/>
          </w:tcPr>
          <w:p>
            <w:pPr>
              <w:spacing w:after="0"/>
              <w:rPr>
                <w:sz w:val="1"/>
                <w:szCs w:val="1"/>
                <w:color w:val="auto"/>
              </w:rPr>
            </w:pPr>
          </w:p>
        </w:tc>
      </w:tr>
      <w:tr>
        <w:trPr>
          <w:trHeight w:val="27"/>
        </w:trPr>
        <w:tc>
          <w:tcPr>
            <w:tcW w:w="76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7,586.5</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200" w:hanging="652"/>
        <w:spacing w:after="0" w:line="229" w:lineRule="auto"/>
        <w:tabs>
          <w:tab w:leader="none" w:pos="6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Instrument is callable by the Company at any time at the greater of 100% of the principal amount or the sum of the present values of the remaining scheduled payments of principal and interest discounted at the U.S. Treasury rate plus 0.20% plus, in each case, accrued and unpaid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576" w:right="239" w:bottom="1440" w:gutter="0" w:footer="0" w:header="0"/>
        </w:sectPr>
      </w:pPr>
    </w:p>
    <w:bookmarkStart w:id="109" w:name="page110"/>
    <w:bookmarkEnd w:id="109"/>
    <w:p>
      <w:pPr>
        <w:ind w:left="660" w:right="200" w:hanging="652"/>
        <w:spacing w:after="0" w:line="229" w:lineRule="auto"/>
        <w:tabs>
          <w:tab w:leader="none" w:pos="66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Instrument is callable by the Company at any time at the greater of 100% of the principal amount or the sum of the present values of the remaining scheduled payments of principal and interest discounted at the U.S. Treasury rate plus 0.125% plus, in each case, accrued and unpaid interest.</w:t>
      </w:r>
    </w:p>
    <w:p>
      <w:pPr>
        <w:ind w:left="660" w:right="200" w:hanging="652"/>
        <w:spacing w:after="0" w:line="219" w:lineRule="auto"/>
        <w:tabs>
          <w:tab w:leader="none" w:pos="66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Instrument is callable by the Company at any time at the greater of 100% of the principal amount or the sum of the present values of the remaining scheduled payments of principal and interest discounted at the U.S. Treasury rate plus 0.30% plus, in each case, accrued and unpaid interest.</w:t>
      </w:r>
    </w:p>
    <w:p>
      <w:pPr>
        <w:spacing w:after="0" w:line="1" w:lineRule="exact"/>
        <w:rPr>
          <w:rFonts w:ascii="Times New Roman" w:cs="Times New Roman" w:eastAsia="Times New Roman" w:hAnsi="Times New Roman"/>
          <w:sz w:val="24"/>
          <w:szCs w:val="24"/>
          <w:color w:val="auto"/>
          <w:vertAlign w:val="superscript"/>
        </w:rPr>
      </w:pPr>
    </w:p>
    <w:p>
      <w:pPr>
        <w:ind w:left="660" w:hanging="652"/>
        <w:spacing w:after="0" w:line="180" w:lineRule="auto"/>
        <w:tabs>
          <w:tab w:leader="none" w:pos="6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Instrument was redeemed by the Company on November 15, 2014 at a redemption price of 103.000% of the principal amount.</w:t>
      </w:r>
    </w:p>
    <w:p>
      <w:pPr>
        <w:spacing w:after="0" w:line="2" w:lineRule="exact"/>
        <w:rPr>
          <w:rFonts w:ascii="Times New Roman" w:cs="Times New Roman" w:eastAsia="Times New Roman" w:hAnsi="Times New Roman"/>
          <w:sz w:val="25"/>
          <w:szCs w:val="25"/>
          <w:color w:val="auto"/>
          <w:vertAlign w:val="superscript"/>
        </w:rPr>
      </w:pPr>
    </w:p>
    <w:p>
      <w:pPr>
        <w:ind w:left="660" w:right="160" w:hanging="652"/>
        <w:spacing w:after="0" w:line="232" w:lineRule="auto"/>
        <w:tabs>
          <w:tab w:leader="none" w:pos="6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Instrument is callable by the Company at any time at any time prior to July 15, 2015 at 100% of the principal amount plus the greater of 1% of the principal amount and the excess over the principal of the present value of 103.938% of the principal amount plus all scheduled interest payments from the call date through July 15, 2015 discounted at the U.S. Treasury rate plus 0.50% plus accrued and unpaid interest. Instrument is callable by the Company at any time on or after July 15, 2015 at the redemption prices set forth in the Indenture dated May 19, 2010, plus accrued and unpaid interest.</w:t>
      </w:r>
    </w:p>
    <w:p>
      <w:pPr>
        <w:ind w:left="660" w:right="260" w:hanging="652"/>
        <w:spacing w:after="0" w:line="219" w:lineRule="auto"/>
        <w:tabs>
          <w:tab w:leader="none" w:pos="66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Instrument is callable by the Company at any time at the greater of 100% of the principal amount or the sum of the present value of the remaining scheduled payments of principal and interest discounted at the U.S. Treasury rate plus 0.25% plus, in each case, accrued and unpaid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Credit Facilities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2014, the Company entered into a new Revolving Credit Agreement with a syndication of lenders, which contains a $1.5 billion revolving facility (the “New Revolving Facility”), which expires in December 19, 2019. The New Revolving Facility includes a $150 million subfacility for the issuance of letters of credit and a $125 million subfacility for swingline borrowings. The interest rate on borrowings under the New Revolving Facility at December 31, 2014 was LIBOR plus 1.325% per annum. The New Revolving Facility has a facility fee which is 0.175%. At December 31, 2014, the Company had no amounts outstanding under the New Revolving Facility. In December 2014, in connection with its entry into the New Revolving Facility, the Company terminated the credit agreement entered into in June 2013 (the “June 2013 Credit Agreement”).</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New Revolving Facility contains customary affirmative covenants for facilities of this type, including among others, covenants pertaining to the delivery of financial statements, notices of default and certain material events, maintenance of corporate existence and rights, business,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 The New Revolving Facility also contains a maximum consolidated leverage ratio financial covenant.</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December 2014, the Company entered into a new Term Credit Agreement with a syndicate of banks which provided an $800 million term loan (the “2014 Term Loan”). The 2014 Term Loan matures on December 19, 2017 and has no required amortization payments. The 2014 Term Loan may be voluntarily prepaid without penalty or premiums. The proceeds of the 2014 Term Loan were used for working capital expenditures and to repay the outstanding borrowings under the June 2013 Credit Agreement. Borrowings under the June 2013 Credit Agreement were used to fund the redemption of the November 2018 Senior Notes. As of December 31, 2014, the 2014 Term Loan currently bears interest at LIBOR plus 1.375% per annum. The 2014 Term Loan contains similar covenants to the New Revolving Facility. The Company was in compliance with all covenants under its various debt agreements as of December 31, 2014.</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June 2013, in connection with its entry into the June 2013 Senior Credit Agreement, the Company terminated the credit agreement entered into in November 2011 (the “November 2011 Credit Agreement”) and incurred a pre-tax charge of approximately $8.7 million related to the write-off of deferred financing fees, which was included in other expense (income), net,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Notes issued November 2013</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November 2013, the Company issued $500 million aggregate principal amount of 1.350% Senior Notes due November 2016, $500 million aggregate principal amount of 2.550% Senior Notes due March 2019, $500 million aggregate principal amount of 4.200% Senior Notes due November 2023 and $500 million aggregate principal amount of 5.400% Senior Notes due November 2043 (collectively, the “November 2013 Senior Notes”) in a registered offering pursuant to an effective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580" w:right="239" w:bottom="1440" w:gutter="0" w:footer="0" w:header="0"/>
        </w:sectPr>
      </w:pPr>
    </w:p>
    <w:bookmarkStart w:id="110" w:name="page111"/>
    <w:bookmarkEnd w:id="110"/>
    <w:p>
      <w:pPr>
        <w:ind w:right="60"/>
        <w:spacing w:after="0" w:line="258" w:lineRule="auto"/>
        <w:rPr>
          <w:sz w:val="20"/>
          <w:szCs w:val="20"/>
          <w:color w:val="auto"/>
        </w:rPr>
      </w:pPr>
      <w:r>
        <w:rPr>
          <w:rFonts w:ascii="Times New Roman" w:cs="Times New Roman" w:eastAsia="Times New Roman" w:hAnsi="Times New Roman"/>
          <w:sz w:val="18"/>
          <w:szCs w:val="18"/>
          <w:color w:val="auto"/>
        </w:rPr>
        <w:t>Registration Statement on Form S-3 filed with the Securities and Exchange Commission (“SEC”). The November 2013 Senior Notes were issued pursuant to an indenture dated as of November 29, 2013 (the “Base Indenture”) and the first supplemental indenture dated as of November 29, 2013, both of which were entered into by and between the Company and The Bank of New York Mellon as trustee. Interest payments on the November 2013 Senior Notes are due semi-annually in arrears on May 29th and November 29th of each year beginning May 29, 2014 except in the case of the 2.550% Senior Notes due 2019 where interest payments are due semi-annually in arrears on March 28th and September 28th of each year beginning March 28, 2014.</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redeem the 4.200% Senior Notes due in 2023 and the 5.400% Senior Notes due 2043 at any time on or after three months prior to their maturity in the case of the 4.200% Senior Notes due in 2023 and six months prior to their maturity in the case of the 5.400% Senior Notes due in 2043, at a redemption price equal to 100% of the principal amount of the 4.200% November 2023 Senior Notes or 5.400% November 2043 Senior Notes, as the case may be, to be redeemed, plus in each case accrued and unpaid interest up to, but excluding the redemption date.</w:t>
      </w:r>
    </w:p>
    <w:p>
      <w:pPr>
        <w:spacing w:after="0" w:line="18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 were used to fund the acquisition of Agila and for general corporate purposes, including, but not limited to, the repayment of short-term borrowings and funding of the October 2013 share repurchase program. The outstanding balance under the November 2013 Senior Notes at December 31, 2013 was $1.99 billion, which includes a discount of $6.5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Senior Notes issued June 2013</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June 2013, the Company issued $500 million aggregate principal amount of 1.800% Senior Notes due 2016 and $650 million aggregate principal amount of 2.600% Senior Notes due June 2018 (collectively, the “June 2013 Senior Notes”). These notes are the Company’s senior unsecured obligations and were issued to qualified institutional buyers in accordance with Rule 144A and to persons outside of the U.S. pursuant to Regulation S under the Securities Act in a private offering exempt from the registration requirements of the Securities Act. The June 2013 Senior Notes were issued pursuant to an indenture dated as of June 25, 2013 entered into by and between the Company and The Bank of New York Mellon as trustee. Interest payments on the June 2013 Senior Notes are due semi-annually in arrears on June 24th and December 24th of each year beginning December 24, 2013.</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June 2013 and in connection with the offering of the June 2013 Senior Notes, the Company entered into a registration rights agreement with the initial purchasers of the Notes. Pursuant to the registration rights agreement, the Company was obligated to use commercially reasonable efforts (1) to file a registration statement with respect to an offer to exchange the June 2013 Senior Notes (the “exchange offer”) for new notes with the same aggregate principal amount and terms substantially identical in all material respects and (2) to cause the exchange offer registration statement to be declared effective by the SEC under the Securities Act. The Company filed a registration statement with the SEC, which was declared effective on January 31, 2014 and the exchange offer was completed on March 4, 2014. Net proceeds from the June 2013 Senior Notes were used to repay all of its outstanding $1.13 billion in 2011 Term Loans under the November 2011 Credit Agreement and for general corporate purposes.</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2014, the $500.2 million of 1.800% Senior Notes due 2016 debt is net of a $0.2 million discount and a fair value adjustment of $0.4 million associated with the termination of related interest rate swaps.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2018 Senior Notes Redemption</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November 15, 2014, the Company redeemed all of its outstanding 6.000% Senior Notes due 2018 pursuant to their terms for a total of $824.0 million, including a $24.0 million redemption premium. The Company recorded a pre-tax charge of approximately $33.3 million during the fourth quarter of 2014 related to the redemption of the 6.000% Senior Notes due 2018, comprised of the redemption premium and the write-off of deferred financing fees, which is included in other expense (income), net, in the Consolidated Statements of Operations. The redemption of the 6.000% Senior Notes due 2018 was funded through borrowings under the revolving facility of the June 2013 Credit Agreement.</w:t>
      </w:r>
    </w:p>
    <w:p>
      <w:pPr>
        <w:spacing w:after="0" w:line="18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November 2014 in conjunction with the redemption of the 6.000% Senior Notes due 2018, the Company’s counterparties exercised their right to terminate certain swaps on a portion of the 6.000% Senior Notes due 2018. As a result the Company received a payment of approximately $15 million related to the swap termination. The termination gain is included in other expense (income), net, in the Consolidated Statements of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580" w:right="259" w:bottom="1440" w:gutter="0" w:footer="0" w:header="0"/>
        </w:sectPr>
      </w:pPr>
    </w:p>
    <w:bookmarkStart w:id="111" w:name="page112"/>
    <w:bookmarkEnd w:id="111"/>
    <w:p>
      <w:pPr>
        <w:ind w:left="340"/>
        <w:spacing w:after="0"/>
        <w:rPr>
          <w:sz w:val="20"/>
          <w:szCs w:val="20"/>
          <w:color w:val="auto"/>
        </w:rPr>
      </w:pPr>
      <w:r>
        <w:rPr>
          <w:rFonts w:ascii="Times New Roman" w:cs="Times New Roman" w:eastAsia="Times New Roman" w:hAnsi="Times New Roman"/>
          <w:sz w:val="18"/>
          <w:szCs w:val="18"/>
          <w:i w:val="1"/>
          <w:iCs w:val="1"/>
          <w:color w:val="auto"/>
        </w:rPr>
        <w:t>July 2017 Senior Notes Redemption</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July 18, 2013, the Company redeemed all of its outstanding 7.625% Senior Notes due 2017 pursuant to their terms for a total of $608.8 million, including a $58.8 million redemption premium. The Company recorded a pre-tax charge of approximately $63.9 million during the fourth quarter of 2013 related to the redemption of the 7.625% Senior Notes due 2017, comprised of the redemption premium and the write-off of deferred financing fees, which was included in other expense (income), net, in the Consolidated Statements of Operations. The redemption of the 7.625% Senior Notes due 2017 was funded through borrowings under the revolving facility of the June 2013 Credit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Convertible Notes</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2008, Mylan issued $575 million aggregate principal amount of Cash Convertible Notes due 2015. The Cash Convertible Notes bear stated interest at a rate of 3.75% per year and an effective interest rate of 9.5%. The effective interest rate is based on the rate for a similar instrument that does not have a conversion feature. The Cash Convertible Notes are not convertible into our common stock or any other securities under any circumstance. In connection with the consummation of the Transaction, the Company and New Mylan executed a supplemental indenture that amended the indenture governing the Cash Convertible Notes so that, among other things, all relevant determinations for purposes of the cash conversion rights to which holders may be entitled from time-to-time in accordance with such indenture shall be made by reference to the New Mylan ordinary shares.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September 15, 2008, concurrent with the sale of the Cash Convertible Notes, Mylan entered into convertible note hedge and warrant transactions with certain counterparties. Pursuant to the warrant transactions, the Company sold to the counterparties warrants to purchase in the aggregate up to approximately 43.2 million shares of Mylan common stock, subject to certain anti-dilution adjustments, which under most circumstances represents the maximum number of shares to which the Cash Convertible Notes relate (based on the conversion reference rate at the time of issuance). The sold warrants had an exercise price of $20.00 and will be net share settled, meaning that Mylan will issue a number of shares per warrant corresponding to the difference between its share price at each warrant expiration date and the exercise price. The warrants meet the definition of derivatives under the guidance in ASC 815; however, because these instruments have been determined to be indexed to the Company’s own stock and meet the criteria for equity classification under ASC 815-40, the warrants have been recorded in shareholders’ equity in the Consolidated Balance Sheets.</w:t>
      </w:r>
    </w:p>
    <w:p>
      <w:pPr>
        <w:spacing w:after="0" w:line="18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third quarter of 2011, the Company entered into amendments with the counterparties to exchange the original warrants with an exercise price of $20.00 (the “Old Warrants”) for new warrants with an exercise price of $30.00 (the “New Warrants”). Approximately 41.0 million of the Old Warrants were exchanged in the transaction. All other terms and settlement provisions of the Old Warrants remain unchanged in the New Warrants.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Transaction, the terms of the convertible note hedge were adjusted so that the settlement value will be based on New Mylan ordinary shares. The terms of the warrant transactions were also adjusted so that, from and after the consummation of the Transaction, we may settle the obligations under the warrant transaction by delivering New Mylan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the summary of the components of the Cash Convertible Notes: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principal</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component carrying amount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discount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Net debt carrying amount </w:t>
            </w:r>
            <w:r>
              <w:rPr>
                <w:rFonts w:ascii="Times New Roman" w:cs="Times New Roman" w:eastAsia="Times New Roman" w:hAnsi="Times New Roman"/>
                <w:sz w:val="25"/>
                <w:szCs w:val="25"/>
                <w:color w:val="auto"/>
                <w:vertAlign w:val="superscript"/>
              </w:rPr>
              <w:t>(a)</w:t>
            </w: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2,405.6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1,828.3</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40"/>
              <w:spacing w:after="0" w:line="251" w:lineRule="exact"/>
              <w:rPr>
                <w:sz w:val="20"/>
                <w:szCs w:val="20"/>
                <w:color w:val="auto"/>
              </w:rPr>
            </w:pPr>
            <w:r>
              <w:rPr>
                <w:rFonts w:ascii="Times New Roman" w:cs="Times New Roman" w:eastAsia="Times New Roman" w:hAnsi="Times New Roman"/>
                <w:sz w:val="18"/>
                <w:szCs w:val="18"/>
                <w:color w:val="auto"/>
              </w:rPr>
              <w:t xml:space="preserve">Purchased call options </w:t>
            </w:r>
            <w:r>
              <w:rPr>
                <w:rFonts w:ascii="Times New Roman" w:cs="Times New Roman" w:eastAsia="Times New Roman" w:hAnsi="Times New Roman"/>
                <w:sz w:val="25"/>
                <w:szCs w:val="25"/>
                <w:color w:val="auto"/>
                <w:vertAlign w:val="superscript"/>
              </w:rPr>
              <w:t>(b)</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300" w:hanging="652"/>
        <w:spacing w:after="0" w:line="218" w:lineRule="auto"/>
        <w:tabs>
          <w:tab w:leader="none" w:pos="66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2014 and December 31, 2013, the cash convertible notes were classified as current portion of long-term debt and other long-term obligations and long-term debt, respectively, on the Consolidated Balance Sheets.</w:t>
      </w:r>
    </w:p>
    <w:p>
      <w:pPr>
        <w:spacing w:after="0" w:line="1" w:lineRule="exact"/>
        <w:rPr>
          <w:rFonts w:ascii="Times New Roman" w:cs="Times New Roman" w:eastAsia="Times New Roman" w:hAnsi="Times New Roman"/>
          <w:sz w:val="25"/>
          <w:szCs w:val="25"/>
          <w:color w:val="auto"/>
          <w:vertAlign w:val="superscript"/>
        </w:rPr>
      </w:pPr>
    </w:p>
    <w:p>
      <w:pPr>
        <w:ind w:left="660" w:right="400" w:hanging="652"/>
        <w:spacing w:after="0" w:line="209" w:lineRule="auto"/>
        <w:tabs>
          <w:tab w:leader="none" w:pos="66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As of December 31, 2014 and December 31, 2013, purchased call options were classified as prepaid expenses and other current assets and other assets, respectively, on the Consolidated Balance Sheets.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578" w:right="239" w:bottom="1440" w:gutter="0" w:footer="0" w:header="0"/>
        </w:sectPr>
      </w:pPr>
    </w:p>
    <w:bookmarkStart w:id="112" w:name="page113"/>
    <w:bookmarkEnd w:id="112"/>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As adjusted in connection with the consummation of the Transaction, holders may convert their notes subject to certain conversion provisions including (i) during any quarter if the closing price of New Mylan’s ordinary shares exceeds 130% of the respective conversion price per share during a defined period at the end of the previous quarter; (ii) during a defined period following five consecutive trading days in which the trading price per $1,000 principal amount was less than 98% of the product of the closing price of New Mylan’s ordinary shares on such day and the applicable conversion reference rate; (iii) if New Mylan makes specified distributions to holders of New Mylan’s ordinary shares including sales of rights or common stock on a preferential basis, certain distribution of assets or other securities or rights to all holders of New Mylan’s ordinary shares or certain transactions resulting in substantially all shares of New Mylan’s ordinary shares being converted into cash, securities or other property; or (iv) upon a certain business combinations or if New Mylan’s ordinary shares cease to be traded on a major U.S. stock exchange.</w:t>
      </w:r>
    </w:p>
    <w:p>
      <w:pPr>
        <w:spacing w:after="0" w:line="18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Transaction, the Company and New Mylan executed a supplemental indenture that amended the indenture governing the Cash Convertible Notes so that, among other things, all relevant determinations for purposes of the cash conversion rights to which holders may be entitled from time-to-time in accordance with such indenture shall be made by reference to the New Mylan ordinary shares.</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2014, because the closing price of our common stock for at least 20 trading days in the period of 30 consecutive trading days ending on the last trading day in the December 31, 2014 period, was more than 130% of the applicable conversion reference price of $13.32, the $573.1 million of Cash Convertible Notes was currently convertible. Although the Company’s experience is that convertible debentures are not normally converted by investors until close to their maturity date, it is possible that some debentures could be converted prior to their maturity date if, for example, a holder perceives the market for the debentures to be weaker than the market for the common stock. Upon an investor’s election to convert, the Company is required to pay the full conversion value in cash. Should holders elect to convert, the Company intends to draw on its New Revolving Facility to fund any principal payments. The amount payable per $1,000 notional bond would be calculated as the product of (1) the conversion reference rate (currently 75.0751) and (2) the average Daily Volume Weighted Average Price per share of common stock for a specified period following the conversion date. Any payment above the principal amount is matched by a convertible note hedge.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2014 and December 31, 2013, the fair value of the Senior Notes was approximately $5.03 billion and $5.85 billion, respectively. At December 31, 2014 and December 31, 2013, the fair value of the Cash Convertible Notes was approximately $2.42 billion and $1.88 billion, respectively. The fair values of the Senior Notes and Cash Convertible Notes were valued at quoted market prices from broker or dealer quotations and were classified as Level 2 in the fair value hierarchy. Based on quoted market rates of interest and maturity schedules for similar debt issues, the fair values of the 2014 Term Loan and New Revolving Facility, determined based on Level 2 inputs, approximate their carrying values at December 31, 2014 and December 31, 2013.</w:t>
      </w:r>
    </w:p>
    <w:p>
      <w:pPr>
        <w:spacing w:after="0" w:line="18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outstanding long-term debt at December 31, 2014, excluding the discounts, premium and conversion features, are as follows for each of the periods ending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7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7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7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right"/>
              <w:ind w:right="435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3" w:name="page114"/>
    <w:bookmarkEnd w:id="113"/>
    <w:p>
      <w:pPr>
        <w:ind w:left="332" w:hanging="332"/>
        <w:spacing w:after="0"/>
        <w:tabs>
          <w:tab w:leader="none" w:pos="33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Earnings</w:t>
      </w:r>
    </w:p>
    <w:p>
      <w:pPr>
        <w:spacing w:after="0" w:line="17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Accumulated other comprehensive loss, as reflected on the Consolidated Balance Sheets, is comprised of the following:</w:t>
      </w:r>
    </w:p>
    <w:p>
      <w:pPr>
        <w:spacing w:after="0" w:line="338" w:lineRule="exact"/>
        <w:rPr>
          <w:sz w:val="20"/>
          <w:szCs w:val="20"/>
          <w:color w:val="auto"/>
        </w:rPr>
      </w:pPr>
    </w:p>
    <w:tbl>
      <w:tblPr>
        <w:tblLayout w:type="fixed"/>
        <w:tblInd w:w="32" w:type="dxa"/>
        <w:tblCellMar>
          <w:top w:w="0" w:type="dxa"/>
          <w:left w:w="0" w:type="dxa"/>
          <w:bottom w:w="0" w:type="dxa"/>
          <w:right w:w="0" w:type="dxa"/>
        </w:tblCellMar>
      </w:tblPr>
      <w:tr>
        <w:trPr>
          <w:trHeight w:val="197"/>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unrealized gains on marketable securities, net of tax</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unrecognized losses and prior service cost related to defined benefit plans,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unrecognized (losses) gains on derivatives, net of tax</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37"/>
        </w:trPr>
        <w:tc>
          <w:tcPr>
            <w:tcW w:w="874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7"/>
        </w:trPr>
        <w:tc>
          <w:tcPr>
            <w:tcW w:w="87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4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792" w:right="259" w:bottom="1440" w:gutter="0" w:footer="0" w:header="0"/>
        </w:sectPr>
      </w:pPr>
    </w:p>
    <w:bookmarkStart w:id="114" w:name="page115"/>
    <w:bookmarkEnd w:id="114"/>
    <w:p>
      <w:pPr>
        <w:ind w:left="620"/>
        <w:spacing w:after="0"/>
        <w:rPr>
          <w:sz w:val="20"/>
          <w:szCs w:val="20"/>
          <w:color w:val="auto"/>
        </w:rPr>
      </w:pPr>
      <w:r>
        <w:rPr>
          <w:rFonts w:ascii="Times New Roman" w:cs="Times New Roman" w:eastAsia="Times New Roman" w:hAnsi="Times New Roman"/>
          <w:sz w:val="18"/>
          <w:szCs w:val="18"/>
          <w:color w:val="auto"/>
        </w:rPr>
        <w:t>Components of other comprehensive earnings (loss), before tax, consist of the following:</w:t>
      </w:r>
    </w:p>
    <w:p>
      <w:pPr>
        <w:spacing w:after="0" w:line="171"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18"/>
          <w:szCs w:val="18"/>
          <w:color w:val="auto"/>
        </w:rPr>
        <w:t>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1943735</wp:posOffset>
            </wp:positionH>
            <wp:positionV relativeFrom="paragraph">
              <wp:posOffset>34290</wp:posOffset>
            </wp:positionV>
            <wp:extent cx="52825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1380"/>
          </w:cols>
          <w:pgMar w:left="28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December 31, 2013, net of tax</w:t>
      </w:r>
    </w:p>
    <w:p>
      <w:pPr>
        <w:spacing w:after="0" w:line="75" w:lineRule="exact"/>
        <w:rPr>
          <w:sz w:val="20"/>
          <w:szCs w:val="20"/>
          <w:color w:val="auto"/>
        </w:rPr>
      </w:pPr>
    </w:p>
    <w:p>
      <w:pPr>
        <w:ind w:left="240" w:right="100"/>
        <w:spacing w:after="0" w:line="298" w:lineRule="auto"/>
        <w:rPr>
          <w:sz w:val="20"/>
          <w:szCs w:val="20"/>
          <w:color w:val="auto"/>
        </w:rPr>
      </w:pPr>
      <w:r>
        <w:rPr>
          <w:rFonts w:ascii="Times New Roman" w:cs="Times New Roman" w:eastAsia="Times New Roman" w:hAnsi="Times New Roman"/>
          <w:sz w:val="17"/>
          <w:szCs w:val="17"/>
          <w:color w:val="auto"/>
        </w:rPr>
        <w:t>Other comprehensive (loss) earnings before reclassifications, before tax</w:t>
      </w:r>
    </w:p>
    <w:p>
      <w:pPr>
        <w:spacing w:after="0" w:line="1" w:lineRule="exact"/>
        <w:rPr>
          <w:sz w:val="20"/>
          <w:szCs w:val="20"/>
          <w:color w:val="auto"/>
        </w:rPr>
      </w:pPr>
    </w:p>
    <w:p>
      <w:pPr>
        <w:ind w:left="240" w:right="280"/>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before tax:</w:t>
      </w:r>
    </w:p>
    <w:p>
      <w:pPr>
        <w:spacing w:after="0" w:line="14" w:lineRule="exact"/>
        <w:rPr>
          <w:sz w:val="20"/>
          <w:szCs w:val="20"/>
          <w:color w:val="auto"/>
        </w:rPr>
      </w:pPr>
    </w:p>
    <w:p>
      <w:pPr>
        <w:ind w:left="460" w:right="60"/>
        <w:spacing w:after="0" w:line="287" w:lineRule="auto"/>
        <w:rPr>
          <w:sz w:val="20"/>
          <w:szCs w:val="20"/>
          <w:color w:val="auto"/>
        </w:rPr>
      </w:pPr>
      <w:r>
        <w:rPr>
          <w:rFonts w:ascii="Times New Roman" w:cs="Times New Roman" w:eastAsia="Times New Roman" w:hAnsi="Times New Roman"/>
          <w:sz w:val="17"/>
          <w:szCs w:val="17"/>
          <w:color w:val="auto"/>
        </w:rPr>
        <w:t>Loss on foreign exchange forward contracts classified as cash flow hedges, included in net sales</w:t>
      </w:r>
    </w:p>
    <w:p>
      <w:pPr>
        <w:spacing w:after="0" w:line="1" w:lineRule="exact"/>
        <w:rPr>
          <w:sz w:val="20"/>
          <w:szCs w:val="20"/>
          <w:color w:val="auto"/>
        </w:rPr>
      </w:pPr>
    </w:p>
    <w:p>
      <w:pPr>
        <w:ind w:left="460" w:right="320"/>
        <w:spacing w:after="0" w:line="287" w:lineRule="auto"/>
        <w:rPr>
          <w:sz w:val="20"/>
          <w:szCs w:val="20"/>
          <w:color w:val="auto"/>
        </w:rPr>
      </w:pPr>
      <w:r>
        <w:rPr>
          <w:rFonts w:ascii="Times New Roman" w:cs="Times New Roman" w:eastAsia="Times New Roman" w:hAnsi="Times New Roman"/>
          <w:sz w:val="17"/>
          <w:szCs w:val="17"/>
          <w:color w:val="auto"/>
        </w:rPr>
        <w:t>Loss on interest rate swaps classified as cash flow hedges, included in interest expense</w:t>
      </w:r>
    </w:p>
    <w:p>
      <w:pPr>
        <w:spacing w:after="0" w:line="1" w:lineRule="exact"/>
        <w:rPr>
          <w:sz w:val="20"/>
          <w:szCs w:val="20"/>
          <w:color w:val="auto"/>
        </w:rPr>
      </w:pPr>
    </w:p>
    <w:p>
      <w:pPr>
        <w:ind w:left="460" w:right="20"/>
        <w:spacing w:after="0" w:line="281" w:lineRule="auto"/>
        <w:rPr>
          <w:sz w:val="20"/>
          <w:szCs w:val="20"/>
          <w:color w:val="auto"/>
        </w:rPr>
      </w:pPr>
      <w:r>
        <w:rPr>
          <w:rFonts w:ascii="Times New Roman" w:cs="Times New Roman" w:eastAsia="Times New Roman" w:hAnsi="Times New Roman"/>
          <w:sz w:val="18"/>
          <w:szCs w:val="18"/>
          <w:color w:val="auto"/>
        </w:rPr>
        <w:t>Amortization of prior service costs included in SG&amp;A expenses</w:t>
      </w:r>
    </w:p>
    <w:p>
      <w:pPr>
        <w:spacing w:after="0" w:line="2" w:lineRule="exact"/>
        <w:rPr>
          <w:sz w:val="20"/>
          <w:szCs w:val="20"/>
          <w:color w:val="auto"/>
        </w:rPr>
      </w:pPr>
    </w:p>
    <w:p>
      <w:pPr>
        <w:ind w:left="460" w:right="380"/>
        <w:spacing w:after="0" w:line="298" w:lineRule="auto"/>
        <w:rPr>
          <w:sz w:val="20"/>
          <w:szCs w:val="20"/>
          <w:color w:val="auto"/>
        </w:rPr>
      </w:pPr>
      <w:r>
        <w:rPr>
          <w:rFonts w:ascii="Times New Roman" w:cs="Times New Roman" w:eastAsia="Times New Roman" w:hAnsi="Times New Roman"/>
          <w:sz w:val="17"/>
          <w:szCs w:val="17"/>
          <w:color w:val="auto"/>
        </w:rPr>
        <w:t>Amortization of actuarial loss included in SG&amp;A expenses</w:t>
      </w:r>
    </w:p>
    <w:p>
      <w:pPr>
        <w:spacing w:after="0" w:line="1" w:lineRule="exact"/>
        <w:rPr>
          <w:sz w:val="20"/>
          <w:szCs w:val="20"/>
          <w:color w:val="auto"/>
        </w:rPr>
      </w:pPr>
    </w:p>
    <w:p>
      <w:pPr>
        <w:ind w:left="680" w:right="80"/>
        <w:spacing w:after="0" w:line="287"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before tax</w:t>
      </w:r>
    </w:p>
    <w:p>
      <w:pPr>
        <w:spacing w:after="0" w:line="1" w:lineRule="exact"/>
        <w:rPr>
          <w:sz w:val="20"/>
          <w:szCs w:val="20"/>
          <w:color w:val="auto"/>
        </w:rPr>
      </w:pPr>
    </w:p>
    <w:p>
      <w:pPr>
        <w:ind w:left="240" w:right="880"/>
        <w:spacing w:after="0" w:line="298" w:lineRule="auto"/>
        <w:rPr>
          <w:sz w:val="20"/>
          <w:szCs w:val="20"/>
          <w:color w:val="auto"/>
        </w:rPr>
      </w:pPr>
      <w:r>
        <w:rPr>
          <w:rFonts w:ascii="Times New Roman" w:cs="Times New Roman" w:eastAsia="Times New Roman" w:hAnsi="Times New Roman"/>
          <w:sz w:val="17"/>
          <w:szCs w:val="17"/>
          <w:color w:val="auto"/>
        </w:rPr>
        <w:t>Net other comprehensive (loss) earnings, before tax</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(benefit) provision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December 31, 2014, net of tax</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Foreign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 on</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Defined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rPr>
              <w:t>Gains and Losses on Derivatives in Cash</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Marketable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Benefit Plan</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Translation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34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9"/>
              </w:rPr>
              <w:t>Flow Hedging Relationships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Items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Adjustment</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Totals</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Foreign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currency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forward</w:t>
            </w: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Interest rate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contracts</w:t>
            </w: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swaps</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3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-471170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17145</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7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96"/>
              </w:rPr>
              <w:t>(47.9)</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702"/>
        </w:trPr>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486"/>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86"/>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655"/>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7"/>
        </w:trPr>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r>
      <w:tr>
        <w:trPr>
          <w:trHeight w:val="270"/>
        </w:trPr>
        <w:tc>
          <w:tcPr>
            <w:tcW w:w="1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7"/>
        </w:trPr>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r>
      <w:tr>
        <w:trPr>
          <w:trHeight w:val="27"/>
        </w:trPr>
        <w:tc>
          <w:tcPr>
            <w:tcW w:w="1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-2194560</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-1440180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-685165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80"/>
            <w:col w:w="8320"/>
          </w:cols>
          <w:pgMar w:left="280" w:top="796" w:right="239" w:bottom="1440" w:gutter="0" w:footer="0" w:header="0"/>
          <w:type w:val="continuous"/>
        </w:sect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380"/>
          </w:cols>
          <w:pgMar w:left="280" w:top="796" w:right="239" w:bottom="144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2012, net of tax</w:t>
      </w:r>
    </w:p>
    <w:p>
      <w:pPr>
        <w:spacing w:after="0" w:line="63" w:lineRule="exact"/>
        <w:rPr>
          <w:sz w:val="20"/>
          <w:szCs w:val="20"/>
          <w:color w:val="auto"/>
        </w:rPr>
      </w:pPr>
    </w:p>
    <w:p>
      <w:pPr>
        <w:ind w:left="240" w:right="140"/>
        <w:spacing w:after="0" w:line="298" w:lineRule="auto"/>
        <w:rPr>
          <w:sz w:val="20"/>
          <w:szCs w:val="20"/>
          <w:color w:val="auto"/>
        </w:rPr>
      </w:pPr>
      <w:r>
        <w:rPr>
          <w:rFonts w:ascii="Times New Roman" w:cs="Times New Roman" w:eastAsia="Times New Roman" w:hAnsi="Times New Roman"/>
          <w:sz w:val="17"/>
          <w:szCs w:val="17"/>
          <w:color w:val="auto"/>
        </w:rPr>
        <w:t>Other comprehensive earnings (loss) before reclassifications, before tax</w:t>
      </w:r>
    </w:p>
    <w:p>
      <w:pPr>
        <w:spacing w:after="0" w:line="1" w:lineRule="exact"/>
        <w:rPr>
          <w:sz w:val="20"/>
          <w:szCs w:val="20"/>
          <w:color w:val="auto"/>
        </w:rPr>
      </w:pPr>
    </w:p>
    <w:p>
      <w:pPr>
        <w:ind w:left="240" w:right="320"/>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before tax:</w:t>
      </w:r>
    </w:p>
    <w:p>
      <w:pPr>
        <w:spacing w:after="0" w:line="14" w:lineRule="exact"/>
        <w:rPr>
          <w:sz w:val="20"/>
          <w:szCs w:val="20"/>
          <w:color w:val="auto"/>
        </w:rPr>
      </w:pPr>
    </w:p>
    <w:p>
      <w:pPr>
        <w:ind w:left="460" w:right="100"/>
        <w:spacing w:after="0" w:line="287" w:lineRule="auto"/>
        <w:rPr>
          <w:sz w:val="20"/>
          <w:szCs w:val="20"/>
          <w:color w:val="auto"/>
        </w:rPr>
      </w:pPr>
      <w:r>
        <w:rPr>
          <w:rFonts w:ascii="Times New Roman" w:cs="Times New Roman" w:eastAsia="Times New Roman" w:hAnsi="Times New Roman"/>
          <w:sz w:val="17"/>
          <w:szCs w:val="17"/>
          <w:color w:val="auto"/>
        </w:rPr>
        <w:t>Loss on foreign exchange forward contracts classified as cash flow hedges, included in net sales</w:t>
      </w:r>
    </w:p>
    <w:p>
      <w:pPr>
        <w:spacing w:after="0" w:line="1" w:lineRule="exact"/>
        <w:rPr>
          <w:sz w:val="20"/>
          <w:szCs w:val="20"/>
          <w:color w:val="auto"/>
        </w:rPr>
      </w:pPr>
    </w:p>
    <w:p>
      <w:pPr>
        <w:ind w:left="460" w:right="360"/>
        <w:spacing w:after="0" w:line="287" w:lineRule="auto"/>
        <w:rPr>
          <w:sz w:val="20"/>
          <w:szCs w:val="20"/>
          <w:color w:val="auto"/>
        </w:rPr>
      </w:pPr>
      <w:r>
        <w:rPr>
          <w:rFonts w:ascii="Times New Roman" w:cs="Times New Roman" w:eastAsia="Times New Roman" w:hAnsi="Times New Roman"/>
          <w:sz w:val="17"/>
          <w:szCs w:val="17"/>
          <w:color w:val="auto"/>
        </w:rPr>
        <w:t>Loss on interest rate swaps classified as cash flow hedges, included in interest expense</w:t>
      </w:r>
    </w:p>
    <w:p>
      <w:pPr>
        <w:spacing w:after="0" w:line="1" w:lineRule="exact"/>
        <w:rPr>
          <w:sz w:val="20"/>
          <w:szCs w:val="20"/>
          <w:color w:val="auto"/>
        </w:rPr>
      </w:pPr>
    </w:p>
    <w:p>
      <w:pPr>
        <w:ind w:left="460" w:right="360"/>
        <w:spacing w:after="0" w:line="261" w:lineRule="auto"/>
        <w:rPr>
          <w:sz w:val="20"/>
          <w:szCs w:val="20"/>
          <w:color w:val="auto"/>
        </w:rPr>
      </w:pPr>
      <w:r>
        <w:rPr>
          <w:rFonts w:ascii="Times New Roman" w:cs="Times New Roman" w:eastAsia="Times New Roman" w:hAnsi="Times New Roman"/>
          <w:sz w:val="18"/>
          <w:szCs w:val="18"/>
          <w:color w:val="auto"/>
        </w:rPr>
        <w:t>Loss on interest rate swaps classified as cash flow hedges, included in other (expense) income, net</w:t>
      </w:r>
    </w:p>
    <w:p>
      <w:pPr>
        <w:spacing w:after="0" w:line="18"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Realized loss on sale of marketable securities, included in other (expense) income, net</w:t>
      </w:r>
    </w:p>
    <w:p>
      <w:pPr>
        <w:spacing w:after="0" w:line="14" w:lineRule="exact"/>
        <w:rPr>
          <w:sz w:val="20"/>
          <w:szCs w:val="20"/>
          <w:color w:val="auto"/>
        </w:rPr>
      </w:pPr>
    </w:p>
    <w:p>
      <w:pPr>
        <w:ind w:left="460" w:right="60"/>
        <w:spacing w:after="0" w:line="281" w:lineRule="auto"/>
        <w:rPr>
          <w:sz w:val="20"/>
          <w:szCs w:val="20"/>
          <w:color w:val="auto"/>
        </w:rPr>
      </w:pPr>
      <w:r>
        <w:rPr>
          <w:rFonts w:ascii="Times New Roman" w:cs="Times New Roman" w:eastAsia="Times New Roman" w:hAnsi="Times New Roman"/>
          <w:sz w:val="18"/>
          <w:szCs w:val="18"/>
          <w:color w:val="auto"/>
        </w:rPr>
        <w:t>Amortization of prior service costs included in SG&amp;A expenses</w:t>
      </w:r>
    </w:p>
    <w:p>
      <w:pPr>
        <w:spacing w:after="0" w:line="2" w:lineRule="exact"/>
        <w:rPr>
          <w:sz w:val="20"/>
          <w:szCs w:val="20"/>
          <w:color w:val="auto"/>
        </w:rPr>
      </w:pPr>
    </w:p>
    <w:p>
      <w:pPr>
        <w:ind w:left="460" w:right="400"/>
        <w:spacing w:after="0" w:line="298" w:lineRule="auto"/>
        <w:rPr>
          <w:sz w:val="20"/>
          <w:szCs w:val="20"/>
          <w:color w:val="auto"/>
        </w:rPr>
      </w:pPr>
      <w:r>
        <w:rPr>
          <w:rFonts w:ascii="Times New Roman" w:cs="Times New Roman" w:eastAsia="Times New Roman" w:hAnsi="Times New Roman"/>
          <w:sz w:val="17"/>
          <w:szCs w:val="17"/>
          <w:color w:val="auto"/>
        </w:rPr>
        <w:t>Amortization of actuarial gain included in SG&amp;A expenses</w:t>
      </w:r>
    </w:p>
    <w:p>
      <w:pPr>
        <w:spacing w:after="0" w:line="1"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before tax</w:t>
      </w:r>
    </w:p>
    <w:p>
      <w:pPr>
        <w:spacing w:after="0" w:line="14" w:lineRule="exact"/>
        <w:rPr>
          <w:sz w:val="20"/>
          <w:szCs w:val="20"/>
          <w:color w:val="auto"/>
        </w:rPr>
      </w:pPr>
    </w:p>
    <w:p>
      <w:pPr>
        <w:ind w:left="240" w:right="920"/>
        <w:spacing w:after="0" w:line="298" w:lineRule="auto"/>
        <w:rPr>
          <w:sz w:val="20"/>
          <w:szCs w:val="20"/>
          <w:color w:val="auto"/>
        </w:rPr>
      </w:pPr>
      <w:r>
        <w:rPr>
          <w:rFonts w:ascii="Times New Roman" w:cs="Times New Roman" w:eastAsia="Times New Roman" w:hAnsi="Times New Roman"/>
          <w:sz w:val="17"/>
          <w:szCs w:val="17"/>
          <w:color w:val="auto"/>
        </w:rPr>
        <w:t>Net other comprehensive (loss) earnings, before tax</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2013, net of tax</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color w:val="auto"/>
        </w:rPr>
        <w:t>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5282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 and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Foreign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 on</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Defined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rPr>
              <w:t>Gains and Losses on Derivatives in Cash</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Marketable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Benefit Plan</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Translation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34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w w:val="99"/>
              </w:rPr>
              <w:t>Flow Hedging Relationships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Items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Adjustment</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Totals</w:t>
            </w:r>
          </w:p>
        </w:tc>
      </w:tr>
      <w:tr>
        <w:trPr>
          <w:trHeight w:val="27"/>
        </w:trPr>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Foreign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currency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forward</w:t>
            </w: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Interest rate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contracts</w:t>
            </w: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swaps</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3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-471170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17145</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7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96"/>
              </w:rPr>
              <w:t>(60.5)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702"/>
        </w:trPr>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918"/>
        </w:trPr>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702"/>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86"/>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486"/>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655"/>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70"/>
        </w:trPr>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7"/>
        </w:trPr>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40"/>
        </w:trPr>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-3515360</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-2486025</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-1731645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-977265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-496570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ectPr>
          <w:pgSz w:w="11900" w:h="16838" w:orient="portrait"/>
          <w:cols w:equalWidth="0" w:num="2">
            <w:col w:w="3020" w:space="40"/>
            <w:col w:w="8320"/>
          </w:cols>
          <w:pgMar w:left="280" w:top="742" w:right="239" w:bottom="1440" w:gutter="0" w:footer="0" w:header="0"/>
        </w:sectPr>
      </w:pPr>
    </w:p>
    <w:bookmarkStart w:id="116" w:name="page117"/>
    <w:bookmarkEnd w:id="116"/>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Defined benefit plans:</w:t>
      </w:r>
    </w:p>
    <w:p>
      <w:pPr>
        <w:spacing w:after="0" w:line="63" w:lineRule="exact"/>
        <w:rPr>
          <w:sz w:val="20"/>
          <w:szCs w:val="20"/>
          <w:color w:val="auto"/>
        </w:rPr>
      </w:pPr>
    </w:p>
    <w:p>
      <w:pPr>
        <w:ind w:left="180" w:right="4077"/>
        <w:spacing w:after="0" w:line="313" w:lineRule="auto"/>
        <w:rPr>
          <w:sz w:val="20"/>
          <w:szCs w:val="20"/>
          <w:color w:val="auto"/>
        </w:rPr>
      </w:pPr>
      <w:r>
        <w:rPr>
          <w:rFonts w:ascii="Times New Roman" w:cs="Times New Roman" w:eastAsia="Times New Roman" w:hAnsi="Times New Roman"/>
          <w:sz w:val="18"/>
          <w:szCs w:val="18"/>
          <w:color w:val="auto"/>
        </w:rPr>
        <w:t>Unrecognized gain (loss) and prior service cost arising during the period Less: Actuarial loss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Less: Amortization of actuarial gain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change in unrecognized losses and prior service cost related to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Amount of loss recognized in AOCE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Reclassification of loss from AOCE into earnings (effective portion)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unrecognized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unrealized gain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Reclassification for gain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unrealized gain on marketable securities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provision consisted of the following components:</w:t>
      </w:r>
    </w:p>
    <w:p>
      <w:pPr>
        <w:spacing w:after="0" w:line="20" w:lineRule="exact"/>
        <w:rPr>
          <w:sz w:val="20"/>
          <w:szCs w:val="20"/>
          <w:color w:val="auto"/>
        </w:rPr>
      </w:pPr>
      <w:r>
        <w:rPr>
          <w:sz w:val="20"/>
          <w:szCs w:val="20"/>
          <w:color w:val="auto"/>
        </w:rPr>
        <w:br w:type="column"/>
      </w:r>
    </w:p>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2012</w:t>
      </w:r>
    </w:p>
    <w:p>
      <w:pPr>
        <w:spacing w:after="0" w:line="314" w:lineRule="exact"/>
        <w:rPr>
          <w:sz w:val="20"/>
          <w:szCs w:val="20"/>
          <w:color w:val="auto"/>
        </w:rPr>
      </w:pPr>
    </w:p>
    <w:p>
      <w:pPr>
        <w:ind w:left="743" w:hanging="743"/>
        <w:spacing w:after="0"/>
        <w:tabs>
          <w:tab w:leader="none" w:pos="7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w:t>
      </w:r>
    </w:p>
    <w:p>
      <w:pPr>
        <w:spacing w:after="0" w:line="63" w:lineRule="exact"/>
        <w:rPr>
          <w:rFonts w:ascii="Times New Roman" w:cs="Times New Roman" w:eastAsia="Times New Roman" w:hAnsi="Times New Roman"/>
          <w:sz w:val="18"/>
          <w:szCs w:val="18"/>
          <w:color w:val="auto"/>
        </w:rPr>
      </w:pPr>
    </w:p>
    <w:p>
      <w:pPr>
        <w:ind w:left="8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63" w:lineRule="exact"/>
        <w:rPr>
          <w:rFonts w:ascii="Times New Roman" w:cs="Times New Roman" w:eastAsia="Times New Roman" w:hAnsi="Times New Roman"/>
          <w:sz w:val="18"/>
          <w:szCs w:val="18"/>
          <w:color w:val="auto"/>
        </w:rPr>
      </w:pPr>
    </w:p>
    <w:p>
      <w:pPr>
        <w:ind w:left="8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w:t>
      </w:r>
    </w:p>
    <w:p>
      <w:pPr>
        <w:spacing w:after="0" w:line="77" w:lineRule="exact"/>
        <w:rPr>
          <w:sz w:val="20"/>
          <w:szCs w:val="20"/>
          <w:color w:val="auto"/>
        </w:rPr>
      </w:pPr>
    </w:p>
    <w:p>
      <w:pPr>
        <w:ind w:left="743" w:hanging="743"/>
        <w:spacing w:after="0"/>
        <w:tabs>
          <w:tab w:leader="none" w:pos="7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7886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3" w:hanging="743"/>
        <w:spacing w:after="0"/>
        <w:tabs>
          <w:tab w:leader="none" w:pos="7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w:t>
      </w:r>
    </w:p>
    <w:p>
      <w:pPr>
        <w:spacing w:after="0" w:line="63" w:lineRule="exact"/>
        <w:rPr>
          <w:rFonts w:ascii="Times New Roman" w:cs="Times New Roman" w:eastAsia="Times New Roman" w:hAnsi="Times New Roman"/>
          <w:sz w:val="18"/>
          <w:szCs w:val="18"/>
          <w:color w:val="auto"/>
        </w:rPr>
      </w:pPr>
    </w:p>
    <w:p>
      <w:pPr>
        <w:ind w:left="7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886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7" w:lineRule="exact"/>
        <w:rPr>
          <w:sz w:val="20"/>
          <w:szCs w:val="20"/>
          <w:color w:val="auto"/>
        </w:rPr>
      </w:pPr>
    </w:p>
    <w:p>
      <w:pPr>
        <w:ind w:left="803" w:hanging="803"/>
        <w:spacing w:after="0"/>
        <w:tabs>
          <w:tab w:leader="none" w:pos="8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7886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23" w:hanging="923"/>
        <w:spacing w:after="0"/>
        <w:tabs>
          <w:tab w:leader="none" w:pos="9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8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77" w:lineRule="exact"/>
        <w:rPr>
          <w:sz w:val="20"/>
          <w:szCs w:val="20"/>
          <w:color w:val="auto"/>
        </w:rPr>
      </w:pPr>
    </w:p>
    <w:p>
      <w:pPr>
        <w:ind w:left="823" w:hanging="823"/>
        <w:spacing w:after="0"/>
        <w:tabs>
          <w:tab w:leader="none" w:pos="8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7886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9457" w:space="720"/>
            <w:col w:w="1243"/>
          </w:cols>
          <w:pgMar w:left="240" w:top="1020" w:right="239" w:bottom="1440" w:gutter="0" w:footer="0" w:header="0"/>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before income taxes and noncontrolling interest: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690.7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earnings before income taxes and noncontrolling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For all periods presented, the allocation of earnings before income taxes and noncontrolling interest between domestic and foreign operations includes intercompany interest allocations between certain domestic and foreign subsidiaries. These amounts are eliminated on a consolidated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020" w:right="239" w:bottom="1440" w:gutter="0" w:footer="0" w:header="0"/>
          <w:type w:val="continuous"/>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Temporary differences and carryforwards that result in deferred tax assets and liabilities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144.3</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356.9</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r>
      <w:tr>
        <w:trPr>
          <w:trHeight w:val="237"/>
        </w:trPr>
        <w:tc>
          <w:tcPr>
            <w:tcW w:w="88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584.5</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and equipment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502.2</w:t>
            </w: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37"/>
        </w:trPr>
        <w:tc>
          <w:tcPr>
            <w:tcW w:w="8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773.4</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 (liabilities), net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those foreign subsidiaries whose investments are permanent in duration, U.S. income and foreign withholding taxes have not been provided on the amount by which the investment in those subsidiaries, as recorded for financial reporting, exceeds the tax basis. This amount becomes taxable upon a repatriation of assets from the subsidiary or a sale or liquidation of the subsidiary. The amount of such temporary differences totaled approximately $693 million at December 31, 2014. Determination of the amount of any unrecognized deferred income tax liability on this temporary difference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 No deferred taxes have been recorded on the instances whereby the Company’s investment in foreign subsidiaries is currently greater for U.S. tax purposes than for U.S. GAAP purposes, as management has no current plans that would cause that temporary difference to reverse in the foreseeable future.</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statutory tax rate to the effective tax rate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tax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and credits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foreign items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credits, net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70"/>
        </w:trPr>
        <w:tc>
          <w:tcPr>
            <w:tcW w:w="6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Clean energy and research credits </w:t>
            </w:r>
            <w:r>
              <w:rPr>
                <w:rFonts w:ascii="Times New Roman" w:cs="Times New Roman" w:eastAsia="Times New Roman" w:hAnsi="Times New Roman"/>
                <w:sz w:val="25"/>
                <w:szCs w:val="25"/>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Merger of foreign subsidiaries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80" w:right="2680" w:hanging="5572"/>
        <w:spacing w:after="0" w:line="470" w:lineRule="auto"/>
        <w:tabs>
          <w:tab w:leader="none" w:pos="654" w:val="left"/>
        </w:tabs>
        <w:numPr>
          <w:ilvl w:val="0"/>
          <w:numId w:val="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income tax credits under Section 45 of the Code earned from the Company’s clean energy investments. 117</w:t>
      </w:r>
    </w:p>
    <w:p>
      <w:pPr>
        <w:sectPr>
          <w:pgSz w:w="11900" w:h="16838" w:orient="portrait"/>
          <w:cols w:equalWidth="0" w:num="1">
            <w:col w:w="11420"/>
          </w:cols>
          <w:pgMar w:left="240" w:top="580" w:right="239" w:bottom="1440" w:gutter="0" w:footer="0" w:header="0"/>
        </w:sectPr>
      </w:pPr>
    </w:p>
    <w:bookmarkStart w:id="118" w:name="page119"/>
    <w:bookmarkEnd w:id="118"/>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taxation of non-U.S. operations, the effective tax rate reflects the income tax rates and relative earnings in the locations where the Company operates outside of the U.S. The Company’s jurisdictional location of earnings is a component of the effective tax rate each year as tax rates outside the U.S. may be lower than the U.S. statutory income tax rate, and the rate impact of this component is also influenced by the level of such earnings as compared to the Company’s total earnings. The jurisdictional mix of earnings can vary as a result of operating fluctuations in the normal course of business and as a result of the extent and location of other income and expense items, such as internal restructurings, and gains and losses on strategic business decisions.</w:t>
      </w:r>
    </w:p>
    <w:p>
      <w:pPr>
        <w:spacing w:after="0" w:line="184" w:lineRule="exact"/>
        <w:rPr>
          <w:sz w:val="20"/>
          <w:szCs w:val="20"/>
          <w:color w:val="auto"/>
        </w:rPr>
      </w:pPr>
    </w:p>
    <w:p>
      <w:pPr>
        <w:ind w:left="60"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2014, the Company received approvals from the relevant Indian regulatory authorities to legally merge its wholly owned subsidiaries, Agila Specialties Private Limited and Onco Therapies Limited, into Mylan Laboratories Limited. The merger resulted in the recognition of a deferred tax asset of approximately $150.0 million for the tax deductible goodwill in excess of the book goodwill with a corresponding benefit to income tax provision for the year ended December 31,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or all of the deferred tax assets will not be realized. At December 31, 2014, a valuation allowance has been applied to certain foreign and state deferred tax assets in the amount of $304.5 million. The valuation allowance increased by $25.0 million during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Losses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has net operating loss carryforwards for international and U.S. state income tax purposes of approximately $2.7 billion, of which $2.0 billion are state losses. The Company also has foreign net operating loss carryforwards of approximately $700 million, of which $450 million can be carried forward indefinitely, with the remainder expiring in years 2015 through 2034. Most of the net operating losses (foreign and state) have a full valuation allowance.</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$88.0 million of capital loss carryforwards expiring in 2019 through 2022. A full valuation allowance is recorded against these losses. The Company also has $42.0 million of foreign, domestic and state credit carryovers, expiring in various amounts through 2029.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Examinations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Mylan is subject to ongoing IRS examinations and is a voluntary participant in the IRS Compliance Assurance Process. The years 2013 through 2014 are the open years under examination. The year 2012 has one issue open in the IRS Appeals process. Years 2007 through 2011 are currently scheduled for U.S. Tax Court proceedings beginning in 2015. Tax and interest continue to be accrued related to certain tax positions.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major state taxing jurisdictions remain open from fiscal year 2007 through 2014, with several state audits currently in progress. The Company’s major international taxing jurisdictions remain open from 2007 through 2014, some of which are indemnified by Merck KGaA and Strides Arcolab for tax assessments.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2014 and 2013, the Company’s Consolidated Balance Sheets reflect net liabilities for unrecognized tax benefits of $191.2 million and $174.7 million, of which $115.4 million and $120.4 million, respectively, would affect the Company’s effective tax rate if recognized. Accrued interest and penalties included in the Consolidated Balance Sheets were $72.3 million and $65.6 million as of December 31, 2014 and 2013, respectively. For the years ended December 31, 2014, 2013 and 2012, Mylan recognized $2.2 million, $0.5 million and $(9.1) million, respectively, for interest expense (income) related to uncertain tax positions. Interest expense and penalties related to income taxes are included in the tax provision.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80"/>
          </w:cols>
          <w:pgMar w:left="240" w:top="796" w:right="27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5"/>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 —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due to expirations of statute of limitations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 due to acquisition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Unrecognized tax benefit — end of year</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it is reasonably possible that the amount of unrecognized tax benefits will decrease in the next twelve months by approximately $97 million, involving federal and state tax audits and settlements, possible resolution of U.S. Tax Court proceedings and expirations of certain state and foreign statutes of limitations. The Company does not anticipate significant increases to the reserve within the next twelve months.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Incentive Plan</w:t>
      </w:r>
    </w:p>
    <w:p>
      <w:pPr>
        <w:spacing w:after="0" w:line="227"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Mylan’s shareholders have approved the </w:t>
      </w:r>
      <w:r>
        <w:rPr>
          <w:rFonts w:ascii="Times New Roman" w:cs="Times New Roman" w:eastAsia="Times New Roman" w:hAnsi="Times New Roman"/>
          <w:sz w:val="18"/>
          <w:szCs w:val="18"/>
          <w:i w:val="1"/>
          <w:iCs w:val="1"/>
          <w:color w:val="auto"/>
        </w:rPr>
        <w:t>2003 Long-Term Incentive Plan</w:t>
      </w:r>
      <w:r>
        <w:rPr>
          <w:rFonts w:ascii="Times New Roman" w:cs="Times New Roman" w:eastAsia="Times New Roman" w:hAnsi="Times New Roman"/>
          <w:sz w:val="18"/>
          <w:szCs w:val="18"/>
          <w:color w:val="auto"/>
        </w:rPr>
        <w:t xml:space="preserve"> (as amended, the “2003 Plan”). Under the 2003 Plan, as amended, 55,300,000 shares of common stock are reserved for issuance to key employees, consultants, independent contractors and non-employee directors of Mylan through a variety of incentive awards, including: stock options, stock appreciation rights (“SAR”), restricted shares and units, performance awards (“PSU”), other stock-based awards and short-term cash awards. Stock option awards are granted at the fair value of the shares underlying the options at the date of the grant, generally become exercisable over periods ranging from three to four years, and generally expire in ten years. Upon approval of the 2003 Plan, no further grants of stock options have been made under any other previous plan.</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February 2014, Mylan’s Compensation Committee and the independent members of the Board of Directors adopted the One-Time Special Performance-Based Five-Year Realizable Value Incentive Program (the “2014 Program”) under the 2003 Plan. Under the 2014 Program, certain key employees received a one-time, performance-based incentive award (the “Awards”) either in the form of a grant of SAR or PSU. The Awards were granted in February 2014 and contain a five-year cliff-vesting feature based on the achievement of various performance targets, external market conditions and the employee’s continued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580" w:right="2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SAR (“stock awards”) activity: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23,599,256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3,130,843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2012</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16,616,617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2,182,035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2013</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13,563,881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6,226,185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16,207,777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December 31, 2014</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15,548,906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7,654,835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stock awards outstanding, stock awards vested and expected to vest, and stock awards exercisable had average remaining contractual terms of 7.04 years, 7.00 years and 5.18 years, respectively. Also at December 31, 2014, stock awards outstanding, stock awards vested and expected to vest and stock awards exercisable had aggregate intrinsic values of $375.4 million, $361.2 million and $275.2 million, respectively.</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stock and restricted stock unit awards, including PSUs, (“restricted stock awards”) as of December 31, 2014 and the changes during the year ended December 31, 2014 are presented below: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9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2013</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3,321,836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2,144,184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Released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3,670,238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Of the 2,144,184 awards granted during the year ended December 31, 2014, 6,000 vest ratably over four years, 168,989 vest ratably over three years and 1,500 vest ratably over two years. Of the remaining awards granted, 2,603 vest after two years, 38,590 vest after one year and 1,286 vest two-thirds after two years, with the remaining one-third vesting after the third year. A portion of the awards granted are subject to performance and market conditions, and include 1,544,382 that will vest after five years, and 380,834 that will vest after three years.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had $132.1 million of total unrecognized compensation expense, net of estimated forfeitures, related to all of its stock-based awards, which will be recognized over the remaining weighted average vesting period of 2.92 years. The total intrinsic value of stock-based awards exercised and restricted stock units converted during the years ended December 31, 2014 and 2013 was $162.2 million and $96.5 million,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580"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t>2003 Plan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With respect to options granted under the Company’s stock-based compensation plans,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for options granted under the 2003 Plan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31.6%</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8"/>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8"/>
              </w:rPr>
              <w:t>29.7%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6.3</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7"/>
              </w:rPr>
              <w:t>5.9</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 rate</w:t>
            </w:r>
          </w:p>
        </w:tc>
        <w:tc>
          <w:tcPr>
            <w:tcW w:w="92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option</w:t>
            </w:r>
          </w:p>
        </w:tc>
        <w:tc>
          <w:tcPr>
            <w:tcW w:w="92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$17.44</w:t>
            </w:r>
          </w:p>
        </w:tc>
        <w:tc>
          <w:tcPr>
            <w:tcW w:w="1480" w:type="dxa"/>
            <w:vAlign w:val="bottom"/>
            <w:gridSpan w:val="3"/>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8"/>
              </w:rPr>
              <w:t>$7.00</w:t>
            </w:r>
          </w:p>
        </w:tc>
      </w:tr>
      <w:tr>
        <w:trPr>
          <w:trHeight w:val="27"/>
        </w:trPr>
        <w:tc>
          <w:tcPr>
            <w:tcW w:w="77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Program</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Under the 2014 Program, approximately 4.4 million SARs and 1.5 million PSUs were granted. The fair value of the Awards were determined using a Monte Carlo simulation as both the SARs and PSUs contain the same performance and market conditions. The Monte Carlo simulation involves a series of random trials that result in different future stock price paths over the contractual life of the SAR or PSU based on appropriate probability distributions. Conditions are imposed on each Monte Carlo simulation to determine if the extent to which the performance conditions would have been met, and therefore the extent to which the Awards would have vested, for the particular stock price path. Once the Company determines that it is probable that the performance targets will be met, compensation expense is recorded for these awards. Each SAR or PSU is equal to one common share with the maximum value of each Award upon vesting subject to varying limitations.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for the 2014 Program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75"/>
        </w:trPr>
        <w:tc>
          <w:tcPr>
            <w:tcW w:w="99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Forfeiture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SAR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$9.43</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PSU</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$34.58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 formulas are based on varying criteria on a plan by plan basis. Mylan’s policy is to fund domestic pension liabilities in accordance with the minimum and maximum limits imposed by the Employee Retirement Income Security Act of 1974 and Federal income tax laws. The Company funds non-domestic pension liabilities in accordance with laws and regulations applicable to those plans, which typically results in these plans being unfunded. The Company has a plan covering certain employees in the U.S. and Puerto Rico to provide for limited reimbursement of post-retirement supplemental medical coverage. In addition, in December 2001, the Supplemental Health Insurance Program for Certain Officers of the Company was adopted to provide full post-retirement medical coverage to certain officers and their spouses and dependents. These plans generally provide benefits to employees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576" w:right="239" w:bottom="1440" w:gutter="0" w:footer="0" w:header="0"/>
        </w:sectPr>
      </w:pPr>
    </w:p>
    <w:bookmarkStart w:id="122" w:name="page123"/>
    <w:bookmarkEnd w:id="122"/>
    <w:p>
      <w:pPr>
        <w:ind w:right="220"/>
        <w:spacing w:after="0" w:line="282" w:lineRule="auto"/>
        <w:rPr>
          <w:sz w:val="20"/>
          <w:szCs w:val="20"/>
          <w:color w:val="auto"/>
        </w:rPr>
      </w:pPr>
      <w:r>
        <w:rPr>
          <w:rFonts w:ascii="Times New Roman" w:cs="Times New Roman" w:eastAsia="Times New Roman" w:hAnsi="Times New Roman"/>
          <w:sz w:val="18"/>
          <w:szCs w:val="18"/>
          <w:color w:val="auto"/>
        </w:rPr>
        <w:t>who meet minimum age and service requirements. The net amounts accrued related to these benefits were $68.7 million and $60.4 million at December 31, 2014 and 2013,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sponsors defined contribution plans covering certain of its employees in the U.S. and Puerto Rico, as well as certain employees in a number of countries outside the U.S. Its domestic defined contribution plans consist primarily of a 401(k) retirement plan with a profit sharing component for non-union represented employees and a 401(k) retirement plan for union-represented employees. Profit sharing contributions are made at the discretion of the Board of Directors. Its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18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 401(k) Restoration Plan (the “Restoration Plan”), which permits employees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Company’s Profit Sharing 401(k) Plan if not for the limits on contributions and deferrals imposed by the Code.</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an Income Deferral Plan (the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Total employer contributions to defined contribution plans were approximately $87.4 million, $79.0 million and $68.4 million for the years ended December 31, 2014, 2013 and 2012,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 Arrangements</w:t>
      </w:r>
    </w:p>
    <w:p>
      <w:pPr>
        <w:spacing w:after="0" w:line="2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Company provides supplemental life insurance benefits to certain management employees. Such benefits require annual funding and may require accelerated funding in the event that the Company would experience a change in control.</w:t>
      </w:r>
    </w:p>
    <w:p>
      <w:pPr>
        <w:spacing w:after="0" w:line="16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Company participated in a multi-employer pension plan under previous collective bargaining agreements. The PACE Industry Union-Management Pension Fund, (the “Plan”), provides defined benefits to certain retirees and certain production and maintenance employees at the Company’s manufacturing facility in Morgantown, West Virginia who were covered by the previous collective bargaining agreements. Pursuant to a new collective bargaining agreement entered into on April 16, 2012, the Company withdrew from the Plan effective May 10, 2012. In the fourth quarter of 2013, the Plan trustee notified the Company that its withdrawal liability was approximately $27 million, which was accrued by the Company at December 31, 2013. The withdrawal liability is being paid over a period of approximately nine years, with payments beginning in March 2014. The Employee Identification Number for this Plan is 11-6166763.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Mylan has two segments, “Generics” and “Specialty.” The Generics segment primarily develops, manufactures, sells and distributes generic or branded generic pharmaceutical products in tablet, capsule, injectable or transdermal patch form, as well as API. The Specialty segment engages mainly in the development, manufacture and sale of branded specialty nebulized and injectable products.</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evaluates the performance of its segments based on total revenues and segment profitability. Segment profitability represents segment gross profit less direct R&amp;D expenses and direct selling, general and administrative expenses. Certain general and administrative and R&amp;D expenses not allocated to the segments, litigation settlements, net, impairment charges and other expenses not directly attributable to the segments, are reported in Corporate/Other. Additionally, amortization of intangible assets and other purchase accounting related items, as well as any other significant special items, are included in Corporate/Other. Items below the earnings from operations line on the Company’s Consolidated Statements of Operations are not presented by segment, since they are excluded from the measure of segment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580" w:right="23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t>profitability. The Company does not report depreciation expense, total assets and capital expenditures by segment, as such information is not used by the chief operating decision maker.</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to Consolidated Financial Statements. Intersegment sales are accounted for at current market values and are eliminated at the consolidated level.</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Generics</w:t>
            </w:r>
          </w:p>
        </w:tc>
        <w:tc>
          <w:tcPr>
            <w:tcW w:w="2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party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7,719.6</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7,719.6</w:t>
            </w: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profitability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1,352.6</w:t>
            </w:r>
          </w:p>
        </w:tc>
        <w:tc>
          <w:tcPr>
            <w:tcW w:w="0" w:type="dxa"/>
            <w:vAlign w:val="bottom"/>
          </w:tcPr>
          <w:p>
            <w:pPr>
              <w:spacing w:after="0"/>
              <w:rPr>
                <w:sz w:val="1"/>
                <w:szCs w:val="1"/>
                <w:color w:val="auto"/>
              </w:rPr>
            </w:pPr>
          </w:p>
        </w:tc>
      </w:tr>
      <w:tr>
        <w:trPr>
          <w:trHeight w:val="594"/>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5,900.6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5,906.3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6,909.1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profitability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621"/>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6,796.1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Intersegment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5,949.3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6,796.1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profitability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300" w:hanging="652"/>
        <w:spacing w:after="0" w:line="228" w:lineRule="auto"/>
        <w:tabs>
          <w:tab w:leader="none" w:pos="660" w:val="left"/>
        </w:tabs>
        <w:numPr>
          <w:ilvl w:val="0"/>
          <w:numId w:val="5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certain corporate general and administrative and R&amp;D expenses; litigation settlements, net; certain intercompany transactions, including eliminations; amortization of intangible assets and certain purchase accounting items; impairment charges; and other expenses not directly attributable to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580" w:right="2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The Company’s net sales are generated via the sale of products in the following therapeutic categories: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Allergy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741.5</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Anti-infectives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1,034.3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Cardiovascular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1,156.3</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Central Nervous System</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1,473.9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Dermatological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Endocrine and Metabolic</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Gastrointestinal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Renal and Genitourinary Agents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Respiratory System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69"/>
        </w:trPr>
        <w:tc>
          <w:tcPr>
            <w:tcW w:w="7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7,646.5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6,750.2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Other consists of numerous therapeutic classes, none of which individually exceeds 5% of consolidated net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At January 1, 2014, the regions within the Generic Segment were recast to North America, Europe, and Rest of World, which are the Company’s principal geographic markets. Net sales are classified based on the geographic location of the customers and are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4,425.3</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3,866.8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1,297.6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Rest of World </w:t>
            </w:r>
            <w:r>
              <w:rPr>
                <w:rFonts w:ascii="Times New Roman" w:cs="Times New Roman" w:eastAsia="Times New Roman" w:hAnsi="Times New Roman"/>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1,391.9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6,856.6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6,750.2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200" w:hanging="652"/>
        <w:spacing w:after="0" w:line="218" w:lineRule="auto"/>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Net sales in France consisted of approximately 9%, 10% and 9% of consolidated net sales for the years ended December 31, 2014, 2013 and 2012, respectively.</w:t>
      </w:r>
    </w:p>
    <w:p>
      <w:pPr>
        <w:spacing w:after="0" w:line="1" w:lineRule="exact"/>
        <w:rPr>
          <w:rFonts w:ascii="Times New Roman" w:cs="Times New Roman" w:eastAsia="Times New Roman" w:hAnsi="Times New Roman"/>
          <w:sz w:val="25"/>
          <w:szCs w:val="25"/>
          <w:color w:val="auto"/>
          <w:vertAlign w:val="superscript"/>
        </w:rPr>
      </w:pPr>
    </w:p>
    <w:p>
      <w:pPr>
        <w:ind w:left="660" w:right="160" w:hanging="652"/>
        <w:spacing w:after="0" w:line="209" w:lineRule="auto"/>
        <w:tabs>
          <w:tab w:leader="none" w:pos="660" w:val="left"/>
        </w:tabs>
        <w:numPr>
          <w:ilvl w:val="0"/>
          <w:numId w:val="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Net sales in India consisted of approximately 12%, 11% and 10% of consolidated net sales for the years ended December 31, 2014, 2013 and 2012, respectively.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under various operating lease arrangements. These leases generally provide the Company with the option to renew the lease at the end of the lease term. For the years ended December 31, 2014, 2013 and 2012, the Company had lease expense of $45.2 million, $40.5 million and $39.3 million,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580"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10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operating lease commitments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0"/>
        </w:trPr>
        <w:tc>
          <w:tcPr>
            <w:tcW w:w="10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5"/>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r>
      <w:tr>
        <w:trPr>
          <w:trHeight w:val="237"/>
        </w:trPr>
        <w:tc>
          <w:tcPr>
            <w:tcW w:w="102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r>
      <w:tr>
        <w:trPr>
          <w:trHeight w:val="27"/>
        </w:trPr>
        <w:tc>
          <w:tcPr>
            <w:tcW w:w="10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is contractually obligated to make potential future development, regulatory and commercial milestone, royalty and/or profit sharing payments in conjunction with collaborative agreements or acquisitions that the Company has entered into with third parties. The most significant of these such obligations relates to the potential future consideration related to the 2013 Agila acquisition and the 2011 respiratory delivery platform acquisition. These payments are contingent upon the occurrence of certain future events and, given the nature of these events, it is unclear when, if ever, the Company may be required to pay such amounts. Further, the timing of any future payment is not reasonably estimable. The amount of contingent consideration accrued was approximately $470 million at December 31, 2014.</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an exclusive collaboration on the development, manufacturing, supply and commercialization of multiple, high value generic biologic compounds and three insulin analog products for the global marketplace. Mylan plans to provide funding related to the collaboration over the next several years that could total approximately $75 million or more per year.</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the Company entered into a development and commercialization collaboration with Theravance Biopharma for the development and, subject to FDA approval, commercialization of a novel once-daily nebulized LAMA for COPD and other respiratory diseases. Under the terms of the agreement, Mylan and Theravance Biopharma will co-develop the product. In the U.S., Mylan will lead commercialization and Theravance Biopharma will retain the right to co-promote the product under a profit-sharing arrangement. In addition to funding the U.S. registrational development program, Mylan will pay Theravance Biopharma an initial payment of $15 million in the second quarter of 2015 and made a $30 million equity investment in Theravance Biopharma. Under the terms of the agreement, Theravance Biopharma is eligible to receive potential development and sales milestone payments totaling $220 million in the aggregate.</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fourth quarter of 2013, the Company entered into a licensing agreement with Pfizer for the exclusive worldwide rights to develop, manufacture and commercialize a novel long-acting muscarinic antagonist compound. As part of the agreement, the Company made an upfront development payment, which is included as a component of R&amp;D expense in 2013, and could make additional payments upon the achievement of certain milestones as the Company’s development continues over the next several years. Depending on the commercialization of this novel compound and the level of future sales and profits, the Company could also be obligated to make payments upon the occurrence of certain sales milestones, along with sales royalties and profit sharing payments.</w:t>
      </w:r>
    </w:p>
    <w:p>
      <w:pPr>
        <w:spacing w:after="0" w:line="18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Additionally, Mylan has entered into product development agreements under which the Company has agreed to share in the development costs as they are incurred by our partners. As the timing of cash expenditures is dependent upon a number of factors, many of which are outside of our control, it is difficult to forecast the amount of payments to be made over the next few years, which could be significant.</w:t>
      </w:r>
    </w:p>
    <w:p>
      <w:pPr>
        <w:spacing w:after="0" w:line="17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76"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Mylan periodically enters into employment, legal settlement and other agreements which incorporate indemnification provisions. While the maximum amount to which Mylan may be exposed under such agreements cannot be reasonably estimated, the Company maintains insurance coverage, which management believes will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580" w:right="239" w:bottom="1440" w:gutter="0" w:footer="0" w:header="0"/>
        </w:sectPr>
      </w:pPr>
    </w:p>
    <w:bookmarkStart w:id="126" w:name="page127"/>
    <w:bookmarkEnd w:id="126"/>
    <w:p>
      <w:pPr>
        <w:ind w:right="620"/>
        <w:spacing w:after="0" w:line="282" w:lineRule="auto"/>
        <w:rPr>
          <w:sz w:val="20"/>
          <w:szCs w:val="20"/>
          <w:color w:val="auto"/>
        </w:rPr>
      </w:pPr>
      <w:r>
        <w:rPr>
          <w:rFonts w:ascii="Times New Roman" w:cs="Times New Roman" w:eastAsia="Times New Roman" w:hAnsi="Times New Roman"/>
          <w:sz w:val="18"/>
          <w:szCs w:val="18"/>
          <w:color w:val="auto"/>
        </w:rPr>
        <w:t>effectively mitigate the Company’s obligations under these indemnification provisions. No amounts have been recorded in the Consolidated Financial Statements with respect to the Company’s obligations under such agreements.</w:t>
      </w:r>
    </w:p>
    <w:p>
      <w:pPr>
        <w:spacing w:after="0" w:line="374" w:lineRule="exact"/>
        <w:rPr>
          <w:sz w:val="20"/>
          <w:szCs w:val="20"/>
          <w:color w:val="auto"/>
        </w:rPr>
      </w:pPr>
    </w:p>
    <w:p>
      <w:pPr>
        <w:jc w:val="both"/>
        <w:ind w:right="10000" w:firstLine="8"/>
        <w:spacing w:after="0" w:line="503" w:lineRule="auto"/>
        <w:tabs>
          <w:tab w:leader="none" w:pos="3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Legal Proceedings</w:t>
      </w:r>
    </w:p>
    <w:p>
      <w:pPr>
        <w:spacing w:after="0" w:line="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and proceedings, and litigation matters that arise from time to time, some of which are described below. The Company is also party to certain litigation matters for which Merck KGaA or Strides Arcolab has agreed to indemnify the Company, pursuant to the respective sale and purchase agreements.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intends to vigorously defend its position, the process of resolving matters through litigation or other means is inherently uncertain, and it is not possible to predict the ultimate resolution of any such proceeding. It is possible that an unfavorable resolution of any of the matters described below, or the inability or denial of Merck KGaA, Strides Arcolab or another indemnitor or insurer to pay an indemnified claim, could have a material effect on the Company’s financial position, results of operations and/or cash flows, and could cause the market value of our common stock to decline. Unless otherwise disclosed below, the Company is unable to predict the outcome of the respective litigation or to provide an estimate of the range of reasonably possible losses. Legal costs are recorded as incurred and are classified in SG&amp;A in the Company’s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Lorazepam and Clorazepate</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On June 1, 2005, a jury verdict was rendered against Mylan, MPI, and co-defendants Cambrex Corporation and Gyma Laboratories in the</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U.S. District Court for the District of Columbia in the amount of approximately $12.0 million, which has been accrued for by the Company. The jury found that Mylan and its co-defendants willfully violated Massachusetts, Minnesota and Illinois state antitrust laws in connection with API supply agreements entered into between the Company and its API supplier (Cambrex) and broker (Gyma) for two drugs, Lorazepam and Clorazepate, in 1997, and subsequent price increases on these drugs in 1998. The case was brought by four health insurers who opted out of earlier class action settlements agreed to by the Company in 2001 and represents the last remaining antitrust claims relating to Mylan’s 1998 price increases for Lorazepam and Clorazepate. Following the verdict, the Company filed a motion for judgment as a matter of law, a motion for a new trial, a motion to dismiss two of the insurers and a motion to reduce the verdict. On December 20, 2006, the Company’s motion for judgment as a matter of law and motion for a new trial were denied and the remaining motions were denied on January 24, 2008. In post-trial filings, the plaintiffs requested that the verdict be trebled and that request was granted on January 24, 2008. On February 6, 2008, a judgment was issued against Mylan and its co-defendants in the total amount of approximately $69.0 million, which, in the case of three of the plaintiffs, reflects trebling of the compensatory damages in the original verdict (approximately $11.0 million in total) and, in the case of the fourth plaintiff, reflects their amount of the compensatory damages in the original jury verdict plus doubling this compensatory damage award as punitive damages assessed against each of the defendants (approximately $58.0 million in total), some or all of which may be subject to indemnification obligations by Mylan. Plaintiffs are also seeking an award of attorneys’ fees and litigation costs in unspecified amounts and prejudgment interest of approximately $8.0 million. The Company and its co-defendants appealed to the U.S. Court of Appeals for the D.C. Circuit and have challenged the verdict as legally erroneous on multiple grounds. The appeals were held in abeyance pending a ruling on the motion for prejudgment interest, which has been granted. Mylan has contested this ruling along with the liability finding and other damages awards as part of its appeal, which was filed in the Court of Appeals for the D.C. Circuit. On January 18, 2011, the Court of Appeals issued a judgment remanding the case to the District Court for further proceedings based on lack of diversity with respect to certain plaintiffs. On June 13, 2011, Mylan filed a certiorari petition with the U.S. Supreme Court requesting review of the judgment of the D.C. Circuit. On October 3, 2011, the certiorari petition was denied. The case is now proceeding before the District Court. On January 14, 2013, following limited court-ordered jurisdictional discovery, the plaintiffs filed a fourth amended complaint containing additional factual averments with respect to the diversity of citizenship of the parties, along with a motion to voluntarily dismiss 775 (of 1,387) self-funded customers whose presence would destroy the District Court’s diversity jurisdiction. The plaintiffs also moved for a remittitur (reduction) of approximately $8.1 million from the full damages award. Mylan's brief in response to the new factual averments in the complaint was filed on February 13, 2013. On July 29, 2014, the court granted both plaintiffs’ motion to amend the complaint and their motion to dismiss 775 self-funded customers.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Company’s appeal of the judgment, the Company submitted a surety bond underwritten by a third-party insurance company in the amount of $74.5 million in February 2008. On May 30, 2012, the District Court ordered the amount of the surety bond reduced to $66.6 million.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580"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Medicaid Litigation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Dey L.P. (now known as Mylan Specialty L.P. and herein as “Mylan Specialty”), a wholly owned subsidiary of the Company, was named as a defendant in several class actions brought by consumers and third-party payors. Mylan Specialty reached a settlement of these class actions, which was approved by the court and all claims have been dismissed. Additionally, a complaint was filed under seal by a plaintiff on behalf of the United States of America against Mylan Specialty in August 1997. In August 2006, the Government filed its complaint-in-intervention and the case was unsealed in September 2006. The Government asserted that Mylan Specialty was jointly liable with a codefendant and sought recovery of alleged overpayments, together with treble damages, civil penalties and equitable relief. Mylan Specialty completed a settlement of this action in December 2010. These cases all have generally alleged that Mylan Specialty falsely reported certain price information concerning certain drugs marketed by Mylan Specialty, that Mylan Specialty caused false claims to be made to Medicaid and to Medicare, and that Mylan Specialty caused Medicaid and Medicare to make overpayments on those claims.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with Merck KGaA, Mylan is fully indemnified for the claims in the preceding paragraph and Merck KGaA is entitled to any income tax benefit the Company realizes for any deductions of amounts paid for such pricing litigation. Under the indemnity, Merck KGaA is responsible for all settlement and legal costs, and, as such, these settlements had no impact on the Company’s Consolidated Statements of Operations. At December 31, 2014, the Company has accrued approximately $63.3 million in other current liabilities, which represents its estimate of the remaining amount of anticipated income tax benefits due to Merck KGaA. Substantially all of Mylan Specialty’s known claims with respect to this pricing litigation have been settled.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Modafinil Antitrust Litigation and FTC Inquiry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Beginning in April 2006, Mylan and four other drug manufacturers have been named as defendants in civil lawsuits filed in or transferred to the U.S. District Court for the Eastern District of Pennsylvania by a variety of plaintiffs purportedly representing direct and indirect purchasers of the drug Modafinil and in a lawsuit filed by Apotex, Inc., a manufacturer of generic drugs. These actions allege violations of federal antitrust and state laws in connection with the generic defendants’ settlement of patent litigation with Cephalon relating to Modafinil. Discovery has now closed. On June 23, 2014, the court granted the defendants’ motion for partial summary judgment (and denied the corresponding plaintiffs’ motion) dismissing plaintiffs’ claims that the defendants had engaged in an overall conspiracy to restrain trade. On January 28, 2015, the District Court denied the defendants’ summary judgment motions based on factors identified in the Supreme Court’s </w:t>
      </w:r>
      <w:r>
        <w:rPr>
          <w:rFonts w:ascii="Times New Roman" w:cs="Times New Roman" w:eastAsia="Times New Roman" w:hAnsi="Times New Roman"/>
          <w:sz w:val="18"/>
          <w:szCs w:val="18"/>
          <w:i w:val="1"/>
          <w:iCs w:val="1"/>
          <w:color w:val="auto"/>
        </w:rPr>
        <w:t>Actavis</w:t>
      </w:r>
      <w:r>
        <w:rPr>
          <w:rFonts w:ascii="Times New Roman" w:cs="Times New Roman" w:eastAsia="Times New Roman" w:hAnsi="Times New Roman"/>
          <w:sz w:val="18"/>
          <w:szCs w:val="18"/>
          <w:color w:val="auto"/>
        </w:rPr>
        <w:t xml:space="preserve"> decision. Additional motions remain pending and a trial date has not been scheduled.</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by letter dated July 11, 2006, Mylan was notified by the U.S. Federal Trade Commission (“FTC”) of an investigation relating to the settlement of the Modafinil patent litigation. In its letter, the FTC requested certain information from Mylan, MPI and Mylan Technologies, Inc. pertaining to the patent litigation and the settlement thereof. On March 29, 2007, the FTC issued a subpoena, and on April 26, 2007, the FTC issued a civil investigative demand to Mylan, requesting additional information from the Company relating to the investigation. Mylan has cooperated fully with the government’s investigation and completed all requests for information. On February 13, 2008, the FTC filed a lawsuit against Cephalon in the U.S. District Court for the District of Columbia and the case has subsequently been transferred to the U.S. District Court for the Eastern District of Pennsylvania. On July 1, 2010, the FTC issued a third party subpoena to Mylan, requesting documents in connection with its lawsuit against Cephalon. Mylan has responded to the subpoena. Mylan is not named as a defendant in the FTC’s lawsuit, although the complaint includes certain allegations pertaining to Mylan's settlement with Cephalon.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Minocycline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May 1, 2012, the FTC issued a civil investigative demand to Mylan pertaining to an investigation being conducted to determine whether Medicis Pharmaceutical Corporation, Mylan, and/or other generic companies engaged in unfair methods of competition with regard to Medicis’ branded Solodyn® products and generic Solodyn® products, as well as the 2010 settlement of Medicis’ patent infringement claims against Mylan and Matrix Laboratories Limited (now known as Mylan Laboratories Limited). Mylan has cooperated with the FTC and has responded to the requests for information.</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Beginning in July 2013, Mylan and Mylan Laboratories Limited, along with other drug manufacturers, were named as defendants in civil lawsuits filed by a variety of plaintiffs in the U.S. District Court for the Eastern District of Pennsylvania, the District of Arizona, and the District of Massachusetts. Those lawsuits were consolidated in the U.S. District Court for the District of Massachusetts. The plaintiffs purport to represent direct and indirect purchasers of branded or generic Solodyn®, and assert violations of federal and state laws, including allegations in connection with separate settlements by Medicis with each of the other defendants of patent litigation relating to generic Solodyn®. Plaintiffs’ consolidated amended complaint was filed 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792" w:right="2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September 12, 2014, Mylan and Mylan Laboratories Limited are no longer named defendants in the consolidated amended complaint.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Pioglitazone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Beginning in December 2013, Mylan, Takeda, and several other drug manufacturers have been named as defendants in civil lawsuits consolidated in the U.S. District Court for the Southern District of New York by plaintiffs which purport to represent indirect purchasers of branded or generic Actos® and Actoplus Met®. These actions allege violations of state and federal competition laws in connection with the defendants’ settlements of patent litigation in 2010 relating to Actos and Actoplus Met®. Plaintiffs filed an amended complaint on August 22, 2014. Mylan and the other defendants filed motions to dismiss the amended complaint on October 10, 2014 and a decision remains pending.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Proceedings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Perindopril</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or around July 8, 2009, the European Commission ( the “Commission”) stated that it had initiated antitrust proceedings pursuant to Article 11(6) of Regulation No. 1/2003 and Article 2(1) of Regulation No. 773/2004 to explore possible infringement of Articles 81 and 82 EC and Articles 53 and 54 of the EEA Agreement by Les Laboratoires Servier (“Servier”) as well as possible infringement of Article 81 EC by the Company’s Indian subsidiary, Mylan Laboratories Limited, and four other companies, each of which entered into agreements with Servier relating to the product Perindopril. On July 30, 2012, the European Commission issued a Statement of Objections to Servier SAS, Servier Laboratories Limited, Les Laboratories Servier, Adir, Biogaran, Krka, d.d. Novo mesto, Lupin Limited, Mylan Laboratories Limited, Mylan, Niche Generics Limited, Teva UK Limited, Teva Pharmaceutical Industries Ltd., Teva Pharmaceuticals Europe B.V., and Unichem Laboratories Limited. Mylan and Mylan Laboratories Limited filed responses to the Statement of Objections. On July 9, 2014, the Commission issued a decision finding that Mylan Laboratories Limited and Mylan, as well as the companies noted above (with the exception of Adir, a subsidiary of Servier), had violated European Union competition rules and fined Mylan Laboratories Limited approximately €17.2 million, including approximately €8.0 million jointly and severally with Mylan. The Company paid approximately $21.7 million related to this matter during the fourth quarter of 2014. On September 19, 2014, the Company filed an appeal of the Commission’s decision to the General Court of the European Union and the briefing is ongoing.</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Citalopram</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March 19, 2010, Mylan and Generics [U.K.] Limited, a wholly owned subsidiary of the Company, received notice that the Commission had opened proceedings against Lundbeck with respect to alleged unilateral practices and/or agreements related to Citalopram in the European Economic Area. On July 25, 2012, a Statement of Objections was issued to Lundbeck, Merck KGaA, Generics [U.K.] Limited, Arrow, Resolution Chemicals, Xelia Pharmaceuticals, Alpharma, A.L. Industrier and Ranbaxy. Generics [U.K.] Limited filed a response to the Statement of Objections and vigorously defended itself against allegations contained therein. On June 19, 2013, the Commission issued a decision finding that Generics [U.K.] Limited, as well as the companies noted above, had violated European Union competition rules and fined Generics [U.K.] Limited approximately €7.8 million, jointly and severally with Merck KGaA. Generics [U.K.] Limited has appealed the Commission’s decision to the General Court of the EU. Generics [U.K.] Limited has also sought indemnification from Merck KGaA with respect to the €7.8 million proportion of the fine for which Merck KGaA and Generics [U.K.] Limited were held jointly and severally liable. Merck KGaA has counterclaimed against Generics [U.K.] Limited seeking the same. The Company accrued approximately $10.3 million related to this matter as of December 31, 2014 and 2013.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Competition and Markets Authority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2011, Generics [U.K.] Limited received notice that the Office of Fair Trading (subsequently changed to the Competition and Markets Authority (the “CMA”)) was opening an investigation to explore the possible infringement of the Competition Act 1998 and Article 101 and 102 of the Treaty on the Functioning of the European Union, with respect to alleged agreements related to Paroxetine. On April 19, 2013, a Statement of Objections was issued to GlaxoSmithKline, Generics [U.K.] Limited, Alpharma and Ivax LLC. Generics [U.K.] Limited filed a response to the Statement of Objections, defending itself against the allegations contained therein. The CMA issued a Supplementary Statement of Objections (“SSO”) to the above-referenced parties on October 21, 2014 and a hearing with regard to the SSO took place on December 19, 2014. A decision remains pending.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580"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involved in a number of product liability lawsuits and claims related to alleged personal injuries arising out of certain products manufactured and/or distributed by the Company, including but not limited to its Fentanyl Transdermal System, Phenytoin, Propoxyphene, and Alendronate. The Company believes that it has meritorious defenses to these lawsuits and claims and is vigorously defending itself with respect to those matters. From time to time, the Company has agreed to settle or otherwise resolve certain lawsuits and claims on terms and conditions that are in the best interests of the Company. The Company had accrued approximately $13.4 million at December 31, 2014 and $13.8 million at December 31, 2013.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certain situations, the Company has used its business judgment to decide to market and sell products,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In the case of willful infringement, the definition of which is subjective, such damages may be increased up to three times. Moreover, because of the discount pricing typically involved with bioequivalent products, patented branded products generally realize a substantially higher profit margin than bioequivalent products. An adverse decision in any case could have a material adverse effect on our business, financial condition, results of operations, cash flows and/or share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that are considered normal to its business, including but not limited to certain proceedings assumed as a result of the acquisition of the former Merck Generics business and Agila. While it is not possible to predict the ultimate outcome of such other proceedings, the ultimate outcome of any such proceeding is not currently expected to be material to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793"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Mylan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millions,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2014</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49"/>
        </w:trPr>
        <w:tc>
          <w:tcPr>
            <w:tcW w:w="2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4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2,082.7</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969.0</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190.5</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189.2</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0.51</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0.47</w:t>
            </w:r>
          </w:p>
        </w:tc>
      </w:tr>
      <w:tr>
        <w:trPr>
          <w:trHeight w:val="270"/>
        </w:trPr>
        <w:tc>
          <w:tcPr>
            <w:tcW w:w="60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Share prices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58.62</w:t>
            </w: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Low</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45.27</w:t>
            </w:r>
          </w:p>
        </w:tc>
      </w:tr>
      <w:tr>
        <w:trPr>
          <w:trHeight w:val="419"/>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42"/>
        </w:trPr>
        <w:tc>
          <w:tcPr>
            <w:tcW w:w="242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9"/>
        </w:trPr>
        <w:tc>
          <w:tcPr>
            <w:tcW w:w="24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42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1,808.5</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795.9</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w:t>
            </w:r>
          </w:p>
        </w:tc>
      </w:tr>
      <w:tr>
        <w:trPr>
          <w:trHeight w:val="243"/>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Mylan Inc. common shareholders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180.2</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2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0.45</w:t>
            </w:r>
          </w:p>
        </w:tc>
      </w:tr>
      <w:tr>
        <w:trPr>
          <w:trHeight w:val="270"/>
        </w:trPr>
        <w:tc>
          <w:tcPr>
            <w:tcW w:w="606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Share prices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44.50</w:t>
            </w:r>
          </w:p>
        </w:tc>
      </w:tr>
      <w:tr>
        <w:trPr>
          <w:trHeight w:val="243"/>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Low</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37.87</w:t>
            </w: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90" w:lineRule="exact"/>
        <w:rPr>
          <w:sz w:val="20"/>
          <w:szCs w:val="20"/>
          <w:color w:val="auto"/>
        </w:rPr>
      </w:pPr>
    </w:p>
    <w:p>
      <w:pPr>
        <w:ind w:left="660" w:right="160" w:hanging="652"/>
        <w:spacing w:after="0" w:line="218" w:lineRule="auto"/>
        <w:tabs>
          <w:tab w:leader="none" w:pos="66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sum of earnings per share for the quarters may not equal earnings per share for the total year due to changes in the average number of common shares outstanding.</w:t>
      </w:r>
    </w:p>
    <w:p>
      <w:pPr>
        <w:spacing w:after="0" w:line="37" w:lineRule="exact"/>
        <w:rPr>
          <w:rFonts w:ascii="Times New Roman" w:cs="Times New Roman" w:eastAsia="Times New Roman" w:hAnsi="Times New Roman"/>
          <w:sz w:val="25"/>
          <w:szCs w:val="25"/>
          <w:color w:val="auto"/>
          <w:vertAlign w:val="superscript"/>
        </w:rPr>
      </w:pPr>
    </w:p>
    <w:p>
      <w:pPr>
        <w:ind w:left="660" w:hanging="652"/>
        <w:spacing w:after="0"/>
        <w:tabs>
          <w:tab w:leader="none" w:pos="660" w:val="left"/>
        </w:tabs>
        <w:numPr>
          <w:ilvl w:val="0"/>
          <w:numId w:val="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Closing prices are as reported on the NASDAQ Stock Market.</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w:t>
      </w:r>
    </w:p>
    <w:p>
      <w:pPr>
        <w:sectPr>
          <w:pgSz w:w="11900" w:h="16838" w:orient="portrait"/>
          <w:cols w:equalWidth="0" w:num="1">
            <w:col w:w="11420"/>
          </w:cols>
          <w:pgMar w:left="240" w:top="79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420"/>
          </w:cols>
          <w:pgMar w:left="240" w:top="792" w:right="239" w:bottom="1440" w:gutter="0" w:footer="0" w:header="0"/>
          <w:type w:val="continuous"/>
        </w:sectPr>
      </w:pPr>
    </w:p>
    <w:bookmarkStart w:id="131" w:name="page132"/>
    <w:bookmarkEnd w:id="131"/>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disclosure controls and procedures as of December 31, 2014. Based upon that evaluation, the Principal Executive Officer and the Principal Financial Officer concluded that the Company’s disclosure controls and procedures were effective.</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Management has not identified any other changes in the Company’s internal control over financial reporting that occurred during the fourth quarter of 2014 that have materially affected, or are reasonably likely to materially affect, the Company’s internal control over financial reporting.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is on page 79. The effectiveness of the Company’s internal control over financial reporting as of December 31, 2014 has been audited by Deloitte &amp; Touche LLP, an independent registered public accounting firm, as stated in their report on page 81.</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80"/>
          </w:cols>
          <w:pgMar w:left="240" w:top="580" w:right="279" w:bottom="1440" w:gutter="0" w:footer="0" w:header="0"/>
        </w:sectPr>
      </w:pPr>
    </w:p>
    <w:bookmarkStart w:id="132" w:name="page133"/>
    <w:bookmarkEnd w:id="132"/>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information required by this Item will be provided in an amendment to this Form 10-K in accordance with General Instruction G(3) to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adopted a Code of Ethics that applies to our Principal Executive Officer, Principal Financial Officer and Corporate Controller. This Code of Ethics is posted on New Mylan’s Internet website at mylan.com. New Mylan has also adopted this Code of Ethics and intends to post any amendments to or waivers from the Code of Ethics on that website.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Form 10-K in accordance with General Instruction G(3) to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will be provided in an amendment to this Form 10-K in accordance with General Instruction G(3) to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information about the securities authorized for issuance under Mylan’s equity compensation plans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20" w:type="dxa"/>
            <w:vAlign w:val="bottom"/>
          </w:tcPr>
          <w:p>
            <w:pPr>
              <w:spacing w:after="0"/>
              <w:rPr>
                <w:sz w:val="12"/>
                <w:szCs w:val="12"/>
                <w:color w:val="auto"/>
              </w:rPr>
            </w:pPr>
          </w:p>
        </w:tc>
        <w:tc>
          <w:tcPr>
            <w:tcW w:w="2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2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0" w:type="dxa"/>
            <w:vAlign w:val="bottom"/>
          </w:tcPr>
          <w:p>
            <w:pPr>
              <w:spacing w:after="0"/>
              <w:rPr>
                <w:sz w:val="12"/>
                <w:szCs w:val="12"/>
                <w:color w:val="auto"/>
              </w:rPr>
            </w:pPr>
          </w:p>
        </w:tc>
        <w:tc>
          <w:tcPr>
            <w:tcW w:w="2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3080" w:type="dxa"/>
            <w:vAlign w:val="bottom"/>
          </w:tcPr>
          <w:p>
            <w:pPr>
              <w:spacing w:after="0"/>
              <w:rPr>
                <w:sz w:val="11"/>
                <w:szCs w:val="11"/>
                <w:color w:val="auto"/>
              </w:rPr>
            </w:pPr>
          </w:p>
        </w:tc>
        <w:tc>
          <w:tcPr>
            <w:tcW w:w="242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1"/>
                <w:szCs w:val="11"/>
                <w:color w:val="auto"/>
              </w:rPr>
            </w:pPr>
          </w:p>
        </w:tc>
        <w:tc>
          <w:tcPr>
            <w:tcW w:w="228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Rights</w:t>
            </w:r>
          </w:p>
        </w:tc>
        <w:tc>
          <w:tcPr>
            <w:tcW w:w="25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19,878,015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12,515,837</w:t>
            </w:r>
          </w:p>
        </w:tc>
        <w:tc>
          <w:tcPr>
            <w:tcW w:w="0" w:type="dxa"/>
            <w:vAlign w:val="bottom"/>
          </w:tcPr>
          <w:p>
            <w:pPr>
              <w:spacing w:after="0"/>
              <w:rPr>
                <w:sz w:val="1"/>
                <w:szCs w:val="1"/>
                <w:color w:val="auto"/>
              </w:rPr>
            </w:pPr>
          </w:p>
        </w:tc>
      </w:tr>
      <w:tr>
        <w:trPr>
          <w:trHeight w:val="225"/>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19,878,015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12,515,837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Form 10-K in accordance with General Instruction G(3) to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Form 10-K in accordance with General Instruction G(3) to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576"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Exhibits, Consolidated Financial Statement Schedules</w:t>
      </w:r>
    </w:p>
    <w:p>
      <w:pPr>
        <w:spacing w:after="0" w:line="308"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listed in the Index to Consolidated Financial Statements are filed as part of this Form.</w:t>
      </w:r>
    </w:p>
    <w:p>
      <w:pPr>
        <w:spacing w:after="0" w:line="223"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 Schedules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MYLAN INC.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Costs</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3"/>
                <w:szCs w:val="13"/>
                <w:color w:val="auto"/>
              </w:rPr>
            </w:pPr>
          </w:p>
        </w:tc>
        <w:tc>
          <w:tcPr>
            <w:tcW w:w="12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54"/>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Business Transfer Agreement and Plan of Merger, dated as of November 4, 2014, by and among the registrant,</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Moon B.V., Moon of PA Inc., and Abbott Laboratories, filed as Exhibit 2.1 to Form 10-Q for the quarter ended September 30,</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2014,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Amended and Restated Articles of Incorporation of the registrant, as amended to date, filed as Exhibit 3.1 to Form 10-Q for the quarter</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ended June 30, 2009,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Bylaws of the registrant, as amended to date, filed as Exhibit 3.2 to Form 10-Q for the quarter ended June 30, 2009, and incorporated</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4.1(a)</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Rights Agreement dated as of August 22, 1996, between the registrant and American Stock Transfer &amp; Trust Company, filed as</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Exhibit 4.1 to the Report on Form 8-K filed with the SEC on September 3, 1996,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to Rights Agreement dated as of November 8, 1999, between the registrant and American Stock Transfer &amp;</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 Company, filed as Exhibit 1 to Form 8-A/A filed with the SEC on March 31, 2000,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4.1(c)</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No. 2 to Rights Agreement dated as of August 13,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 Company, filed as Exhibit 4.1 to the Report on Form 8-K filed with the SEC on August 16, 2004,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4.1(d)</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No. 3 to Rights Agreement dated as of September 8,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 Company, filed as Exhibit 4.1 to the Report on Form 8-K filed with the SEC on September 9, 2004,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4.1(e)</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No. 4 to Rights Agreement dated as of December 2, 2004,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 Company, filed as Exhibit 4.1 to the Report on Form 8-K filed with the SEC on December 3, 2004,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420"/>
          </w:cols>
          <w:pgMar w:left="240" w:top="576" w:right="2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4.1(f)</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No. 5 to Rights Agreement dated as of December 19, 2005, between the registrant and American Stock Transfer &amp;</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 Company, filed as Exhibit 4.1 to the Report on Form 8-K filed with the SEC on December 19, 2005,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4.1(g)</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No. 6 to Rights Agreement, dated as of July 13, 2014, between the registrant and American Stock Transfer &amp; Trust</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Company, filed as Exhibit 4.1 to Form 10-Q for the quarter ended September 30, 2014,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4.2(a)</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Indenture, dated as of July 21, 2005, between the registrant and The Bank of New York, as trustee, filed as Exhibit 4.1 to the Report on</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Form 8-K filed with the SEC on July 27, 2005,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4.2(b)</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Second Supplemental Indenture, dated as of October 1, 2007, among the registrant, the Subsidiaries of the registrant listed on the</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signature page thereto and The Bank of New York, as trustee, filed as Exhibit 4.1 to the Report on Form 8-K filed with the SEC on</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October 5, 2007,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July 21, 2005, among the registrant, the Guarantors party thereto and Merrill Lynch,</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Pierce, Fenner &amp; Smith Incorporated, BNY Capital Markets, Inc., KeyBanc Capital Markets (a Division of McDonald Investments</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 PNC Capital Markets, Inc. and SunTrust Capital Markets, Inc., filed as Exhibit 4.2 to the Report on Form 8-K filed with the SEC</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 July 27, 2005,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4.4(a)</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Indenture, dated as of September 15, 2008, among the registrant, the guarantors named therein and Bank of New York Mellon as</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trustee, filed as Exhibit 4.1 to the Report on Form 8-K filed with the SEC on September 15, 2008,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4.4(b)</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First Supplemental Indenture, dated November 29, 2011, by and among the registrant, Somerset Pharmaceuticals, Inc. and The Bank of</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New York Mellon, as trustee, to the Indenture, dated September 15, 2008, among the registrant, the guarantors thereto and The Bank of</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Mellon, as trustee, filed as Exhibit 4.3 to Form 8-K filed with the SEC on November 30, 2011,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4.4(c)</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Second Supplemental Indenture, dated February 27, 2015, by and among the registrant, Mylan N.V. and The Bank of New York</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Mellon, as trustee, to the Indenture, dated September 15, 2008, among the registrant, the guarantors thereto and The Bank of New York</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Mellon, as trustee, filed as Exhibit 4.1 to the Report on Form 8-K filed with the SEC on February 27, 2015,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4.4(d)</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Third Supplemental Indenture, dated February 27, 2015, by and among the registrant, Mylan N.V. and The Bank of New York Mellon,</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as trustee, to the Indenture, dated September 15, 2008, among the registrant, the guarantors thereto and The Bank of New York Mellon,</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trustee, filed as Exhibit 4.2 to the Report on Form 8-K filed with the SEC on February 27, 2015,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4.5(a)</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Indenture, dated as of May 19, 2010, among the registrant, the guarantors named therein and The Bank of New York Mellon as trustee,</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filed as Exhibit 4.1 to the Report on Form 8-K filed with the SEC on May 19, 2010, and incorporated herein by 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4.5(b)</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First Supplemental Indenture, dated November 29, 2011, by and among the registrant, Somerset Pharmaceuticals, Inc. and The Bank of</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Mellon, as trustee, to the Indenture, dated May 19, 2010, among the registrant, the guarantors thereto and The Bank of New</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York Mellon, as trustee, filed as Exhibit 4.2 to Form 8-K filed with the SEC on November 30, 2011,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4.5(c)</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Second Supplemental Indenture, dated February 27, 2015, by and among the registrant, Mylan N.V. and The Bank of New York</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Mellon, as trustee, to the Indenture, dated May 19, 2010 among the registrant, the guarantors thereto and The Bank of New York</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Mellon, as trustee, filed as Exhibit 4.3 to the Report on Form 8-K filed with the SEC on February 27, 2015,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4.6(a)</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Indenture, dated as of November 24, 2010, among the registrant, the guarantors named therein and The Bank of New York Mellon as</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trustee, filed as Exhibit 4.1 to the Report on Form 8-K filed with the SEC on November 24, 2010,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4.6(b)</w:t>
            </w: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First Supplemental Indenture, dated November 29, 2011, by and among the registrant, Somerset Pharmaceuticals, Inc. and The Bank of</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New York Mellon, as trustee, to the Indenture, dated November 24, 2010, among the registrant, the guarantors thereto and The Bank of</w:t>
            </w:r>
          </w:p>
        </w:tc>
      </w:tr>
      <w:tr>
        <w:trPr>
          <w:trHeight w:val="216"/>
        </w:trPr>
        <w:tc>
          <w:tcPr>
            <w:tcW w:w="1020" w:type="dxa"/>
            <w:vAlign w:val="bottom"/>
          </w:tcPr>
          <w:p>
            <w:pPr>
              <w:spacing w:after="0"/>
              <w:rPr>
                <w:sz w:val="18"/>
                <w:szCs w:val="18"/>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 Mellon, as trustee, filed as Exhibit 4.1 to Form 8-K filed with the SEC on November 30, 2011, and incorporated herein by</w:t>
            </w: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reference.</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4.7(a)</w:t>
            </w:r>
          </w:p>
        </w:tc>
        <w:tc>
          <w:tcPr>
            <w:tcW w:w="103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Indenture, dated as of March 7, 2007, among the registrant, the guarantors thereto and The Bank of New York Mellon, as trustee, filed</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0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Exhibit 4.1 to the Report on Form 8-K filed with the SEC on March 7, 2007,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360"/>
          </w:cols>
          <w:pgMar w:left="280" w:top="742" w:right="25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4.7(b)</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First Supplemental Indenture, dated November 29, 2011, by and among the registrant, Somerset Pharmaceuticals, Inc., Dey, Inc., Dey</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Pharma, L.P., Dey Limited Partner, Inc., EMD, Inc., Mylan Delaware Inc., Mylan LHC Inc. and The Bank of New York Mellon, as</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to the Indenture, dated March 7, 2007, among the registrant, the guarantors thereto and The Bank of New York Mellon, as</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filed as Exhibit 4.4 to Form 8-K filed with the SEC on November 30, 2011,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4.8(a)</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Indenture, dated December 21, 2012, among the registrant, the guarantors named therein, and The Bank of New York Mellon, as</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filed as Exhibit 4.1 to the Report on Form 8-K filed with the SEC on December 24, 2012, and incorporated herein by</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4.8(b)</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First Supplemental Indenture, dated February 27, 2015, by and among the registrant, Mylan N.V. and The Bank of New York Mellon,</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trustee, to the Indenture, dated December 21, 2012, among the registrant, the guarantors named therein and The Bank of New York</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Mellon, as trustee, filed as Exhibit 4.4 to the Report on Form 8-K filed with the SEC on February 27, 2015, and incorporated herein by</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4.9(a)</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Indenture, dated as of June 25, 2013, among the registrant, the guarantors thereto and The Bank of New York Mellon, as trustee, filed</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Exhibit 4.1 to the Report on Form 8-K filed with the SEC on June 27, 2013,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4.9(b)</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First Supplemental Indenture, dated February 27, 2015, by and among the registrant, Mylan N.V. and The Bank of New York Mellon,</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 trustee, to the Indenture, dated June 25, 2013, among the registrant, the guarantors thereto and The Bank of New York Mellon, as</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filed as Exhibit 4.5 to the Report on Form 8-K filed with the SEC on February 27, 2015,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Registration Rights Agreement, dated as of June 25, 2013, among the registrant, the guarantors thereto, and the representatives of the</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initial purchasers of the registrant’s $500 million aggregate principal amount of the registrant’s 1.800% Senior Notes due 2016 and</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$650 million aggregate principal amount of the registrant’s 2.600% senior notes due 2018, filed as Exhibit 10.1 to the Report on the</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8-K filed with the SEC on June 27, 2013,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4.11(a)</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Indenture, dated as of November 29, 2013, by and between the Company and The Bank of New York Mellon, as trustee, filed as</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Exhibit 4.1 to the Report on Form 8-K filed with the SEC on November 29, 2013,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4.11(b)</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First Supplemental Indenture, dated as of November 29, 2013, by and between the Company and The Bank of New York Mellon, as</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trustee, filed as Exhibit 4.2 to the Report on Form 8-K filed with the SEC on November 29, 2013, and incorporated herein by</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4.11(c)</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Second Supplemental Indenture, dated February 27, 2015, by and among the registrant, Mylan N.V. and The Bank of New York</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Mellon, as trustee, to the Indenture, dated November 29, 2013, among the registrant and The Bank of New York Mellon, as trustee,</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filed as Exhibit 4.6 to the Report on Form 8-K filed with the SEC on February 27, 2015,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1986 Incentive Stock Option Plan, as amended to date, filed as Exhibit 10(b) to Form 10-K for the fiscal year ended March 31, 1993,</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1997 Incentive Stock Option Plan, as amended to date, filed as Exhibit 10.1 to Form 10-Q for the quarter ended September 30, 2002,</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1992 Nonemployee Director Stock Option Plan, as amended to date, filed as Exhibit 10(l) to Form 10-K for the fiscal year ended</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March 31, 1998,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Amended and Restated 2003 Long-Term Incentive Plan, filed as Exhibit 10.4(a) to Form 10-K for the fiscal year ended December 31,</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2012,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Stock Option Agreement under the 2003 Long-Term Incentive Plan, filed as Exhibit 10.4(b) to Form 10-K for the fiscal year</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ended March 31, 2005,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10.4(c)</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Restricted Share Award under the 2003 Long-Term Incentive Plan, filed as Exhibit 10.4(c) to Form 10-K for the fiscal year</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ended March 31, 2005,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10.4(d)</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Restricted Stock Unit Award Agreement under the 2003 Long-Term Incentive Plan for awards granted prior to fiscal year</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2013, filed as Exhibit 10.4(d) to Form 10-K for the year ended December 31, 2013, and incorporated herein by reference.*</w:t>
            </w:r>
          </w:p>
        </w:tc>
      </w:tr>
      <w:tr>
        <w:trPr>
          <w:trHeight w:val="37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10.4(e)</w:t>
            </w: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 of Performance-Based Restricted Stock Unit Award Agreement under the 2003 Long-Term Incentive Plan for awards granted</w:t>
            </w:r>
          </w:p>
        </w:tc>
      </w:tr>
      <w:tr>
        <w:trPr>
          <w:trHeight w:val="216"/>
        </w:trPr>
        <w:tc>
          <w:tcPr>
            <w:tcW w:w="1060" w:type="dxa"/>
            <w:vAlign w:val="bottom"/>
          </w:tcPr>
          <w:p>
            <w:pPr>
              <w:spacing w:after="0"/>
              <w:rPr>
                <w:sz w:val="18"/>
                <w:szCs w:val="18"/>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prior to fiscal year 2013, filed as Exhibit 10.4(e) to Form 10-K for the year ended December 31, 2013, and incorporated herein by</w:t>
            </w:r>
          </w:p>
        </w:tc>
      </w:tr>
      <w:tr>
        <w:trPr>
          <w:trHeight w:val="234"/>
        </w:trPr>
        <w:tc>
          <w:tcPr>
            <w:tcW w:w="1060" w:type="dxa"/>
            <w:vAlign w:val="bottom"/>
          </w:tcPr>
          <w:p>
            <w:pPr>
              <w:spacing w:after="0"/>
              <w:rPr>
                <w:sz w:val="20"/>
                <w:szCs w:val="20"/>
                <w:color w:val="auto"/>
              </w:rPr>
            </w:pPr>
          </w:p>
        </w:tc>
        <w:tc>
          <w:tcPr>
            <w:tcW w:w="10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reference.*</w:t>
            </w: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360"/>
          </w:cols>
          <w:pgMar w:left="280" w:top="742" w:right="25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10.4(f)</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Form of Stock Option Agreement under the 2003 Long-Term Incentive Plan for Robert J. Coury, Heather</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Bresch, and Rajiv Malik, filed as Exhibit 10.2 to Form 10-Q for the quarter ended September 30, 2013, and incorporated herein by</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10.4(g)</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Form of Restricted Stock Unit Award Agreement under the 2003 Long-Term Incentive Plan for Robert J.</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Coury, Heather Bresch, and Rajiv Malik, filed as Exhibit 10.3 to Form 10-Q for the quarter ended September 30, 2013, and</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10.4(h)</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Form of Performance-Based Restricted Stock Unit Award Agreement under the 2003 Long-Term Incentive</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 for Robert J. Coury, Heather Bresch, and Rajiv Malik, filed as Exhibit 10.4 to Form 10-Q for the quarter ended September 30,</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2013,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10.4(i)</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Form of Stock Option Agreement under the 2003 Long-Term Incentive Plan for awards granted following</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fiscal year 2012, filed as Exhibit 10.4(i) to Form 10-K for the year ended December 31, 2013,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10.4(j)</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Amended and Restated Form of Restricted Stock Unit Award Agreement under the 2003 Long-Term Incentive Plan for awards granted</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following fiscal year 2012, filed as Exhibit 10.4(j) to Form 10-K for the year ended December 31, 2013, and incorporated herein by</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10.4(k)</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Form of Performance-Based Restricted Stock Unit Award Agreement under the 2003 Long-Term Incentive</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 for awards granted following fiscal year 2012, filed as Exhibit 10.4(k) to Form 10-K for the year ended December 31, 2013, and</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10.4(l)</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Performance-Based Stock Appreciation Rights Award Agreement under the Mylan Inc. One-Time Special Five-Year</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Performance-Based Realizable Value Incentive Program, filed as Exhibit 10.5 to the Report on Form 8-K filed with the SEC on</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February 28, 2014,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10.4(m)</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Performance-Based Restricted Stock Unit Award Agreement under the Mylan Inc. One-Time Special Five-Year Performance-</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Based Realizable Value Incentive Program, filed as Exhibit 10.6 to the Report on Form 8-K filed with the SEC on February 28, 2014,</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10.4(n)</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to Amended and Restated 2003 Long-Term Incentive Plan, filed as Exhibit 10.7 to the Report on Form 8-K filed with the</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on February 28, 2014,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10.5(a)</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Mylan Inc. Severance Plan, amended as of August, 2009, filed as Exhibit 10.6 to Form 10-Q for the quarter ended September 30,</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2009,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10.5(b)</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to Mylan Inc. Severance Plan, dated July 13, 2014, filed as Exhibit 10.1 to Form 10-Q for the quarter ended September</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 2014,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3.75% Cash Convertible Notes due 2015 Purchase Agreement, dated September 9, 2008, among the registrant and the initial purchaser</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named therein, filed as Exhibit 1.1 to the Report on Form 8-K filed with the SEC on September 15, 2008, and incorporated herein by</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Confirmation of OTC Convertible Note Hedge Transaction, dated September 9, 2008, among the registrant, Merrill Lynch</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International and Merrill Lynch, Pierce, Fenner &amp; Smith Incorporated, filed as Exhibit 10.1 to the Report on Form 8-K filed with the</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on September 15, 2008,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10.7(b)</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Confirmation of OTC Convertible Note Hedge Transaction, amended as of November 25, 2008, among the registrant, Merrill Lynch</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International and Merrill Lynch, Pierce, Fenner &amp; Smith Incorporated, filed as Exhibit 10.7(b) to Form 10-K for the fiscal year ended</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2008,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Confirmation of OTC Convertible Note Hedge Transaction, dated September 9, 2008, between the registrant and Wells Fargo Bank,</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National Association, filed as Exhibit 10.2 to the Report on Form 8-K filed with the SEC on September 15, 2008, and incorporated</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Confirmation of OTC Warrant Transaction, dated September 9, 2008, among the registrant, Merrill Lynch International and Merrill</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Lynch, Pierce, Fenner &amp; Smith Incorporated, filed as Exhibit 10.3 to the Report on Form 8-K filed with the SEC on September 15,</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2008, and incorporated herein by 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Confirmation of OTC Warrant Transaction, dated September 9, 2008, between the registrant and Wells Fargo Bank, National</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Association, filed as Exhibit 10.4 to the Report on Form 8-K filed with the SEC on September 15, 2008, and incorporated herein by</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to Confirmation of OTC Warrant Transaction, dated September 15, 2008 among the registrant, Merrill Lynch</w:t>
            </w:r>
          </w:p>
        </w:tc>
      </w:tr>
      <w:tr>
        <w:trPr>
          <w:trHeight w:val="216"/>
        </w:trPr>
        <w:tc>
          <w:tcPr>
            <w:tcW w:w="1080" w:type="dxa"/>
            <w:vAlign w:val="bottom"/>
          </w:tcPr>
          <w:p>
            <w:pPr>
              <w:spacing w:after="0"/>
              <w:rPr>
                <w:sz w:val="18"/>
                <w:szCs w:val="18"/>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International and Merrill Lynch, Pierce, Fenner &amp; Smith Incorporated, filed as Exhibit 10.5 to the Report on Form 8-K filed with the</w:t>
            </w:r>
          </w:p>
        </w:tc>
      </w:tr>
      <w:tr>
        <w:trPr>
          <w:trHeight w:val="234"/>
        </w:trPr>
        <w:tc>
          <w:tcPr>
            <w:tcW w:w="1080" w:type="dxa"/>
            <w:vAlign w:val="bottom"/>
          </w:tcPr>
          <w:p>
            <w:pPr>
              <w:spacing w:after="0"/>
              <w:rPr>
                <w:sz w:val="20"/>
                <w:szCs w:val="20"/>
                <w:color w:val="auto"/>
              </w:rPr>
            </w:pPr>
          </w:p>
        </w:tc>
        <w:tc>
          <w:tcPr>
            <w:tcW w:w="10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 on September 15, 2008, and incorporated herein by reference.</w:t>
            </w:r>
          </w:p>
        </w:tc>
      </w:tr>
    </w:tbl>
    <w:p>
      <w:pPr>
        <w:spacing w:after="0" w:line="200" w:lineRule="exact"/>
        <w:rPr>
          <w:sz w:val="20"/>
          <w:szCs w:val="20"/>
          <w:color w:val="auto"/>
        </w:rPr>
      </w:pPr>
    </w:p>
    <w:p>
      <w:pPr>
        <w:sectPr>
          <w:pgSz w:w="11900" w:h="16838" w:orient="portrait"/>
          <w:cols w:equalWidth="0" w:num="1">
            <w:col w:w="11360"/>
          </w:cols>
          <w:pgMar w:left="280" w:top="742" w:right="259" w:bottom="1155"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1360"/>
          </w:cols>
          <w:pgMar w:left="280" w:top="742" w:right="259" w:bottom="1155"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16"/>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10.12</w:t>
            </w: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Amendment to Confirmation of OTC Warrant Transaction, dated September 15, 2008, between the registrant and Wells Fargo Bank,</w:t>
            </w:r>
          </w:p>
        </w:tc>
      </w:tr>
      <w:tr>
        <w:trPr>
          <w:trHeight w:val="216"/>
        </w:trPr>
        <w:tc>
          <w:tcPr>
            <w:tcW w:w="1000" w:type="dxa"/>
            <w:vAlign w:val="bottom"/>
          </w:tcPr>
          <w:p>
            <w:pPr>
              <w:spacing w:after="0"/>
              <w:rPr>
                <w:sz w:val="18"/>
                <w:szCs w:val="18"/>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National Association, filed as Exhibit 10.6 to the Report on Form 8-K filed with the SEC on September 15, 2008, and incorporated</w:t>
            </w:r>
          </w:p>
        </w:tc>
      </w:tr>
      <w:tr>
        <w:trPr>
          <w:trHeight w:val="234"/>
        </w:trPr>
        <w:tc>
          <w:tcPr>
            <w:tcW w:w="1000" w:type="dxa"/>
            <w:vAlign w:val="bottom"/>
          </w:tcPr>
          <w:p>
            <w:pPr>
              <w:spacing w:after="0"/>
              <w:rPr>
                <w:sz w:val="20"/>
                <w:szCs w:val="20"/>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10.13</w:t>
            </w: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Amendment to Confirmation of OTC Warrant Transaction, dated as of September 9, 2008 among the registrant, Merrill Lynch</w:t>
            </w:r>
          </w:p>
        </w:tc>
      </w:tr>
      <w:tr>
        <w:trPr>
          <w:trHeight w:val="216"/>
        </w:trPr>
        <w:tc>
          <w:tcPr>
            <w:tcW w:w="1000" w:type="dxa"/>
            <w:vAlign w:val="bottom"/>
          </w:tcPr>
          <w:p>
            <w:pPr>
              <w:spacing w:after="0"/>
              <w:rPr>
                <w:sz w:val="18"/>
                <w:szCs w:val="18"/>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International and Merrill Lynch, Pierce, Fenner &amp; Smith Incorporated, filed as Exhibit 10.7 to the Report on Form 8-K filed with the</w:t>
            </w:r>
          </w:p>
        </w:tc>
      </w:tr>
      <w:tr>
        <w:trPr>
          <w:trHeight w:val="234"/>
        </w:trPr>
        <w:tc>
          <w:tcPr>
            <w:tcW w:w="1000" w:type="dxa"/>
            <w:vAlign w:val="bottom"/>
          </w:tcPr>
          <w:p>
            <w:pPr>
              <w:spacing w:after="0"/>
              <w:rPr>
                <w:sz w:val="20"/>
                <w:szCs w:val="20"/>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 on September 15, 2008, and incorporated herein by reference.</w:t>
            </w:r>
          </w:p>
        </w:tc>
      </w:tr>
      <w:tr>
        <w:trPr>
          <w:trHeight w:val="373"/>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10.14</w:t>
            </w: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Amendment to Confirmation of OTC Warrant Transaction, dated as of September 9, 2008 among the registrant, Merrill Lynch</w:t>
            </w:r>
          </w:p>
        </w:tc>
      </w:tr>
      <w:tr>
        <w:trPr>
          <w:trHeight w:val="216"/>
        </w:trPr>
        <w:tc>
          <w:tcPr>
            <w:tcW w:w="1000" w:type="dxa"/>
            <w:vAlign w:val="bottom"/>
          </w:tcPr>
          <w:p>
            <w:pPr>
              <w:spacing w:after="0"/>
              <w:rPr>
                <w:sz w:val="18"/>
                <w:szCs w:val="18"/>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International and Merrill Lynch, Pierce, Fenner &amp; Smith Incorporated, filed as Exhibit 10.8 to the Report on Form 8-K filed with the</w:t>
            </w:r>
          </w:p>
        </w:tc>
      </w:tr>
      <w:tr>
        <w:trPr>
          <w:trHeight w:val="234"/>
        </w:trPr>
        <w:tc>
          <w:tcPr>
            <w:tcW w:w="1000" w:type="dxa"/>
            <w:vAlign w:val="bottom"/>
          </w:tcPr>
          <w:p>
            <w:pPr>
              <w:spacing w:after="0"/>
              <w:rPr>
                <w:sz w:val="20"/>
                <w:szCs w:val="20"/>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SEC on September 15, 2008, and incorporated herein by reference.</w:t>
            </w:r>
          </w:p>
        </w:tc>
      </w:tr>
      <w:tr>
        <w:trPr>
          <w:trHeight w:val="373"/>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10.15</w:t>
            </w: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Amendment to the Confirmation of OTC Warrant Transaction, dated September 9, 2008, among the Company, Merrill Lynch</w:t>
            </w:r>
          </w:p>
        </w:tc>
      </w:tr>
      <w:tr>
        <w:trPr>
          <w:trHeight w:val="216"/>
        </w:trPr>
        <w:tc>
          <w:tcPr>
            <w:tcW w:w="1000" w:type="dxa"/>
            <w:vAlign w:val="bottom"/>
          </w:tcPr>
          <w:p>
            <w:pPr>
              <w:spacing w:after="0"/>
              <w:rPr>
                <w:sz w:val="18"/>
                <w:szCs w:val="18"/>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International and Merrill Lynch Pierce, Fenner &amp; Smith Incorporated, dated September 9, 2011, and filed as Exhibit 10.1 to Form 10-Q</w:t>
            </w:r>
          </w:p>
        </w:tc>
      </w:tr>
      <w:tr>
        <w:trPr>
          <w:trHeight w:val="234"/>
        </w:trPr>
        <w:tc>
          <w:tcPr>
            <w:tcW w:w="1000" w:type="dxa"/>
            <w:vAlign w:val="bottom"/>
          </w:tcPr>
          <w:p>
            <w:pPr>
              <w:spacing w:after="0"/>
              <w:rPr>
                <w:sz w:val="20"/>
                <w:szCs w:val="20"/>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filed with the SEC on October 26, 2011, and incorporated herein by reference.</w:t>
            </w:r>
          </w:p>
        </w:tc>
      </w:tr>
      <w:tr>
        <w:trPr>
          <w:trHeight w:val="373"/>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10.16</w:t>
            </w: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Amendment to the Confirmation of OTC Warrant Transaction, dated September 9, 2008, between the Company and Goldman, Sachs</w:t>
            </w:r>
          </w:p>
        </w:tc>
      </w:tr>
      <w:tr>
        <w:trPr>
          <w:trHeight w:val="216"/>
        </w:trPr>
        <w:tc>
          <w:tcPr>
            <w:tcW w:w="1000" w:type="dxa"/>
            <w:vAlign w:val="bottom"/>
          </w:tcPr>
          <w:p>
            <w:pPr>
              <w:spacing w:after="0"/>
              <w:rPr>
                <w:sz w:val="18"/>
                <w:szCs w:val="18"/>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&amp; Co., as successor to Wells Fargo Bank, National Association, dated September 13, 2011, and filed as Exhibit 10.2 to Form 10-Q</w:t>
            </w:r>
          </w:p>
        </w:tc>
      </w:tr>
      <w:tr>
        <w:trPr>
          <w:trHeight w:val="234"/>
        </w:trPr>
        <w:tc>
          <w:tcPr>
            <w:tcW w:w="1000" w:type="dxa"/>
            <w:vAlign w:val="bottom"/>
          </w:tcPr>
          <w:p>
            <w:pPr>
              <w:spacing w:after="0"/>
              <w:rPr>
                <w:sz w:val="20"/>
                <w:szCs w:val="20"/>
                <w:color w:val="auto"/>
              </w:rPr>
            </w:pPr>
          </w:p>
        </w:tc>
        <w:tc>
          <w:tcPr>
            <w:tcW w:w="10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filed with the SEC on October 26, 2011, and incorporated herein by reference.</w:t>
            </w:r>
          </w:p>
        </w:tc>
      </w:tr>
    </w:tbl>
    <w:p>
      <w:pPr>
        <w:spacing w:after="0" w:line="15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Amendment to the Confirmation of OTC Warrant Transaction, dated September 9, 2008, between the Company and Goldman, Sachs</w:t>
      </w:r>
    </w:p>
    <w:p>
      <w:pPr>
        <w:spacing w:after="0" w:line="27" w:lineRule="exact"/>
        <w:rPr>
          <w:sz w:val="20"/>
          <w:szCs w:val="20"/>
          <w:color w:val="auto"/>
        </w:rPr>
      </w:pPr>
    </w:p>
    <w:p>
      <w:pPr>
        <w:ind w:left="1600" w:right="20" w:firstLine="2"/>
        <w:spacing w:after="0" w:line="261" w:lineRule="auto"/>
        <w:tabs>
          <w:tab w:leader="none" w:pos="180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successor to Wells Fargo Bank, National Association, dated September 14, 2011, and filed as Exhibit 10.3 to Form 10-Q filed with the SEC on October 26, 2011, and incorporated herein by reference.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Employment Agreement, dated as of February 28, 2008, between the registrant and Daniel C. Rizzo, Jr.,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10.20(a) to Form 10-K for the fiscal year ended December 31,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Executive Employment Agreement, dated as of December 22, 2008, between the registrant and Daniel C. Rizzo,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Jr., filed as Exhibit 10.20(b) to Form 10-K for the fiscal year ended December 31,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10.18(c)</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2 to Executive Employment Agreement, dated as of February 22, 2011, between the registrant and Daniel C. Rizzo,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Jr. filed as Exhibit 10.18(c) to Form 10-K for the fiscal year ended December 31, 2010,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Employment Agreement, dated as of July 31, 2013, between the registrant and John Sheehan, filed as Exhibit 10.1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10-Q for the quarter ended September 30, 2013,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Executive Employment Agreement, dated October 24, 2011 and effective January 1, 2012, by and between the</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 and Harry A. Korman, filed as Exhibit 10.4 to Form 8-K filed with the SEC on October 28, 2011, and incorporated herein by</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Executive Employment Agreement, dated October 24, 2011 and effective January 1, 2012, by and between the</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 and Anthony Mauro, filed as Exhibit 10.5 to Form 8-K filed with the SEC on October 28, 2011, and incorporated herein by</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Benefit Agreement, dated as of December 31, 2004, between the registrant and Robert J. Coury filed as Exhibit 10.7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10-Q for the quarter ended December 31, 2004,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Retirement Benefit Agreement dated as of April 3, 2006, between the registrant and Robert J. Coury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10.11(b) to Form 10-K for the fiscal year ended March 31, 2006,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10.22(c)</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Retirement Benefit Agreement dated as of December 22, 2008, between the registrant and Robert J. Coury,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10.20(c) to Form 10-K for the fiscal year ended December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10.22(d)</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Retirement Benefit Agreement dated as of March 3, 2010, by and between the registrant and Robert J. Coury,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10.1 to Form 8-K filed with the SEC on March 5, 2010,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10.22(e)</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Retirement Benefit Agreement effective as of January 1, 2012, by and between the registrant and Robert J. Coury, filed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Exhibit 10.6 to Form 8-K filed with the SEC on October 28, 2011, and incorporated herein by reference.*</w:t>
            </w:r>
          </w:p>
        </w:tc>
      </w:tr>
      <w:tr>
        <w:trPr>
          <w:trHeight w:val="608"/>
        </w:trPr>
        <w:tc>
          <w:tcPr>
            <w:tcW w:w="110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137</w:t>
            </w:r>
          </w:p>
        </w:tc>
      </w:tr>
    </w:tbl>
    <w:p>
      <w:pPr>
        <w:sectPr>
          <w:pgSz w:w="11900" w:h="16838" w:orient="portrait"/>
          <w:cols w:equalWidth="0" w:num="1">
            <w:col w:w="11360"/>
          </w:cols>
          <w:pgMar w:left="280" w:top="742" w:right="25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10.22(f)</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Amendment to Retirement Benefit Agreement by and between the registrant and Robert J. Coury, filed as Exhibit 10.2 to the Report on</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8-K filed with the SEC on February 28, 2014,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Benefit Agreement, dated as of August 31, 2009, by and between the registrant and Heather Bresch filed as Exhibit 10.3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10-Q for the quarter ended September 30,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Benefit Agreement, dated as of August 28, 2009, by and between the registrant and Rajiv Malik filed as Exhibit 10.4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10-Q for the quarter ended September 30,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Executive Nonqualified Excess Plan Adoption Agreement, effective as of December 28, 2007, between Mylan International</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Inc. and Rajiv Malik, filed as Exhibit 10.27(b) to Form 10-K for the year ended December 31, 2013, and incorporated herein</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Benefit Agreement, dated as of February 22, 2011, by and between the registrant and John D. Sheehan,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10.23 to Form 10-K for the fiscal year ended December 31, 2010,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Benefit Agreement, dated January 27, 1995, between the registrant and Clarence B. Todd, filed as Exhibit 10(b)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10-K for the fiscal year ended March 31, 1995,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Description of Amendments to the Retirement Benefit Agreement, dated January 27, 1995, between the registrant and Clarence B.</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Todd, filed as Exhibit 10.29(b) to Form 10-K for the fiscal year ended December 31, 2013,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Transition and Succession Agreement, dated as of December 15, 2003, between the registrant and Robert J. Coury,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10.19 to Form 10-Q for the quarter ended December 31, 2003,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Amendment No. 1 to Transition and Succession Agreement, dated as of December 2, 2004, between the registrant and Robert J. Coury,</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filed as Exhibit 10.1 to Form 10-Q for the quarter ended December 31, 2004,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10.27(c)</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2 to Transition and Succession Agreement, dated as of April 3, 2006, between the registrant and Robert J. Coury filed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Exhibit 10.19(c) to Form 10-K for the fiscal year ended March 31, 2006,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10.27(d)</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3 to Transition and Succession Agreement, dated as of December 22, 2008, between the registrant and Robert J.</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Coury, filed as Exhibit 10.25(d) to Form 10-K for the fiscal year ended December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10.28(a)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Transition and Succession Agreement, dated as of December 31, 2007, between the registrant and Heather</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Bresch, filed as Exhibit 10.2 to Form 10-Q for the quarter ended March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10.28(b)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Transition and Succession Agreement, dated as of December 22, 2008, between the registrant and Heather</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Bresch, filed as Exhibit 10.27(b) to Form 10-K for the fiscal year ended December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10.29(a)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Transition and Succession Agreement, dated as of January 31, 2007, between the registrant and Rajiv Malik, filed as Exhibit 10.5 to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10-Q for the quarter ended March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10.29(b)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Transition and Succession Agreement, dated as of December 22, 2008, between the registrant and Rajiv Malik,</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filed as Exhibit 10.28(b) to Form 10-K for the fiscal year ended December 31, 2008,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Transition and Succession Agreement, dated as of February 28, 2008, between the registrant and Daniel C. Rizzo, Jr., filed as</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10.31(a) to Form 10-K for the fiscal year ended December 31,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Transition and Succession Agreement, dated as of December 22, 2008, between the registrant and Daniel C.</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Rizzo, Jr., filed as Exhibit 10.31(b) to Form 10-K for the fiscal year ended December 31, 2009,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2 to Transition and Succession Agreement, dated as of October 15, 2009, between the registrant and Daniel C. Rizzo,</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Jr., filed as Exhibit 10.31(c) to Form 10-K for the fiscal year ended December 31, 2009, and incorporated herein by reference.*</w:t>
            </w:r>
          </w:p>
        </w:tc>
      </w:tr>
      <w:tr>
        <w:trPr>
          <w:trHeight w:val="608"/>
        </w:trPr>
        <w:tc>
          <w:tcPr>
            <w:tcW w:w="110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138</w:t>
            </w:r>
          </w:p>
        </w:tc>
      </w:tr>
    </w:tbl>
    <w:p>
      <w:pPr>
        <w:sectPr>
          <w:pgSz w:w="11900" w:h="16838" w:orient="portrait"/>
          <w:cols w:equalWidth="0" w:num="1">
            <w:col w:w="11360"/>
          </w:cols>
          <w:pgMar w:left="280" w:top="742" w:right="2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10.32(b)</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10.32(c)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10.33(b)</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10.33(c)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0" w:lineRule="exact"/>
        <w:rPr>
          <w:sz w:val="20"/>
          <w:szCs w:val="20"/>
          <w:color w:val="auto"/>
        </w:rPr>
      </w:pPr>
      <w:r>
        <w:rPr>
          <w:sz w:val="20"/>
          <w:szCs w:val="20"/>
          <w:color w:val="auto"/>
        </w:rPr>
        <w:br w:type="column"/>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Transition and Succession Agreement, dated as of April 1, 2010, by and between the registrant and John Sheehan, filed as Exhibit 10.3 to Form 10-Q for the quarter ended March 31, 2010, and incorporated herein by reference.*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Transition and Succession Agreement, dated as of January 10, 2006, by and between the registrant and Harry A. Korman, filed as Exhibit 10.4(a) to Form 10-Q for the quarter ended March 31, 2012, and incorporated herein by reference.*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 No. 1 to Transition and Succession Agreement, dated as of April 3, 2006, by and between the registrant and Harry A. Korman, filed as Exhibit 10.4(b) to Form 10-Q for the quarter ended March 31, 2012, and incorporated herein by reference.*</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 No. 2 to Transition and Succession Agreement, dated as of December 15, 2008, by and between the registrant and Harry A. Korman, filed as Exhibit 10.4(c) to Form 10-Q for the quarter ended March 31, 2012, and incorporated herein by reference.*</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Transition and Succession Agreement, dated as of February 25, 2008, by and between the registrant and Anthony Mauro, filed as Exhibit 10.5(a) to Form 10-Q for the quarter ended March 31, 2012, and incorporated herein by reference.*</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Amendment No. 1 to Transition and Succession Agreement, dated as of December 15, 2008, by and between the registrant and Anthony Mauro, filed as Exhibit 10.5(b) to Form 10-Q for the quarter ended March 31, 2012, and incorporated herein by reference.*</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Amendment No. 2 to Transition and Succession Agreement, dated as of October 15, 2009, by and between the registrant and Anthony Mauro, filed as Exhibit 10.5(c) to Form 10-Q for the quarter ended March 31, 2012, and incorporated herein by reference.*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Health Insurance Program For Certain Officers of the registrant, effective December 15, 2001, filed as Exhibit 10.1 to Form 10-Q for the quarter ended December 31, 2001, and incorporated herein by reference.*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Amended and Restated Form of Indemnification Agreement between the registrant and each Director, filed as Exhibit 10.38 to Form 10-K for the year ended December 31, 2013, and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Regarding Consulting Services and Shareholders Agreement dated as of December 31, 2007 by and among the registrant,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 Laboratories (Mauritius) Ltd, Prasad Nimmagadda, Globex and G2 Corporate Services Limited, filed as Exhibit 10.26 to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KT/A for the period ended December 31, 2007, and incorporated herein by reference.</w:t>
      </w:r>
    </w:p>
    <w:p>
      <w:pPr>
        <w:spacing w:after="0" w:line="166" w:lineRule="exact"/>
        <w:rPr>
          <w:sz w:val="20"/>
          <w:szCs w:val="20"/>
          <w:color w:val="auto"/>
        </w:rPr>
      </w:pPr>
    </w:p>
    <w:p>
      <w:pPr>
        <w:sectPr>
          <w:pgSz w:w="11900" w:h="16838" w:orient="portrait"/>
          <w:cols w:equalWidth="0" w:num="2">
            <w:col w:w="880" w:space="720"/>
            <w:col w:w="9760"/>
          </w:cols>
          <w:pgMar w:left="280" w:top="742"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10.37(a)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Purchase Agreement, dated May 12, 2007, by and among Merck Generics Holding GmbH, Merck S.A., Merck Internationale</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Beteiligung GmbH, Merck KGaA and the registrant, filed as Exhibit 10.1 to the Report on Form 8-K filed with the SEC on May 17,</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2007,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10.37(b)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No. 1 to Share Purchase Agreement, dated October 1, 2007, by and among the registrant and Merck Generics Holding</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GmbH, Merck S.A., Merck Internationale Beteiligung GmbH and Merck KGaA, filed as Exhibit 10.1 to the Report on Form 8-K filed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with the SEC on October 5, 2007,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Agreement, dated as of May 12, 2010, among the registrant, the guarantors named therein and Goldman, Sachs &amp; Co., as</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representative of the several purchasers named therein, filed as Exhibit 10.1 to Form 10-Q for the quarter ended June 30, 2010, and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 Purchase Agreement, dated as of July 14, 2010, by and among the registrant, Mylan Luxembourg L3 S.C.S., Bioniche Pharma</w:t>
            </w: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Holdings Limited, the shareholders party thereto and the optionholders party thereto, filed as Exhibit 2.1 to the Report on Form 8-K</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filed with the SEC on July 16, 2010,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Agreement, dated as of July 30, 2010, among the registrant, the guarantors named therein and Goldman, Sachs &amp; Co., filed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Exhibit 10.1 to Form 10-Q for the quarter ended September 30, 2010, and incorporated herein by reference.</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10.41(a)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Mylan 401(k) Restoration Plan, filed as Exhibit 10.1 to the Report on Form 8-K filed with the SEC on December 14, 2009, and</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10.41(b)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Mylan 401(k) Restoration Plan, dated November 4, 2014.*</w:t>
            </w: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10.42(a)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Mylan Executive Income Deferral Plan, filed as Exhibit 10.2 to the Report on Form 8-K filed with the SEC on December 14, 2009,</w:t>
            </w: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10.42(b)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Mylan Executive Income Deferral Plan, dated November 4, 2014.*</w:t>
            </w: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type w:val="continuous"/>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360"/>
          </w:cols>
          <w:pgMar w:left="280" w:top="742" w:right="25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2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Performance Guaranty, dated as of February 21, 2012, by the registrant in favor of The Bank of Tokyo-Mitsubishi UFJ, Ltd., New</w:t>
            </w:r>
          </w:p>
        </w:tc>
        <w:tc>
          <w:tcPr>
            <w:tcW w:w="0" w:type="dxa"/>
            <w:vAlign w:val="bottom"/>
          </w:tcPr>
          <w:p>
            <w:pPr>
              <w:spacing w:after="0"/>
              <w:rPr>
                <w:sz w:val="1"/>
                <w:szCs w:val="1"/>
                <w:color w:val="auto"/>
              </w:rPr>
            </w:pPr>
          </w:p>
        </w:tc>
      </w:tr>
      <w:tr>
        <w:trPr>
          <w:trHeight w:val="63"/>
        </w:trPr>
        <w:tc>
          <w:tcPr>
            <w:tcW w:w="1100" w:type="dxa"/>
            <w:vAlign w:val="bottom"/>
          </w:tcPr>
          <w:p>
            <w:pPr>
              <w:spacing w:after="0"/>
              <w:rPr>
                <w:sz w:val="5"/>
                <w:szCs w:val="5"/>
                <w:color w:val="auto"/>
              </w:rPr>
            </w:pPr>
          </w:p>
        </w:tc>
        <w:tc>
          <w:tcPr>
            <w:tcW w:w="10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York Branch, as Agent, filed as Exhibit 10.3 to Form 10-Q for the quarter ended March 31, 2012, and incorporated herein by reference.</w:t>
            </w:r>
          </w:p>
        </w:tc>
        <w:tc>
          <w:tcPr>
            <w:tcW w:w="0" w:type="dxa"/>
            <w:vAlign w:val="bottom"/>
          </w:tcPr>
          <w:p>
            <w:pPr>
              <w:spacing w:after="0"/>
              <w:rPr>
                <w:sz w:val="1"/>
                <w:szCs w:val="1"/>
                <w:color w:val="auto"/>
              </w:rPr>
            </w:pPr>
          </w:p>
        </w:tc>
      </w:tr>
      <w:tr>
        <w:trPr>
          <w:trHeight w:val="45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Sale and Purchase Agreement, dated December 4, 2013, by and among the registrant, Mylan Institutional Inc.,</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Strides Pharma Asia Pte Ltd (Agila Specialties Asia Pte Ltd), and the promoters named therein, filed as Exhibit 10.50 to Form 10-K</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the year ended December 31, 2013,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Amended and Restated Sale and Purchase Agreement, dated December 4, 2013, by and among the registrant, Mylan Laboratories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Limited, Strides Arcolab Limited, and the promoters named therein, filed as Exhibit 10.51 to Form 10-K for the year ended December</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 2013,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Restrictive Covenant Agreement, effective February 27, 2013, by and among the registrant, Strides Arcolab Limited, and the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promoters named therein, filed as Exhibit 10.3 to Form 10-Q for the quarter ended March 31, 2013, and incorporated herein by</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10.47(a)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Completion Deed, effective February 27, 2013, by and among the registrant, Strides Arcolab Limited, Agila Specialties Asia Pte Ltd,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the promoters named therein, filed as Exhibit 10.4 to Form 10-Q for the quarter ended March 31, 2013, and incorporated herein by</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10.47(b)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 to Completion Deed, effective December 4, 2013, by and among Mylan Institutional Inc., Mylan Laboratories Limited,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Strides Arcolab Limited, Strides Pharma Asia Pte Ltd (f/k/a Agila Specialties Asia Pte Ltd), and the promoters named therein, filed as</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10.53(b) to Form 10-K for the year ended December 31, 2013,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Agila Global Guarantee Deed, effective February 27, 2013, by and between the registrant and Strides Arcolab Ltd., filed as Exhibit</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10.5 to Form 10-Q for the quarter ended March 31, 2013,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Commitment Letter, dated February 27, 2013, from Morgan Stanley Senior Funding, Inc., filed as Exhibit 10.6 to Form 10-Q for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quarter ended March 31, 2013,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Credit Agreement, dated June 27, 2013, by and among the registrant, the lenders party thereto, and Bank of America, N.A., as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administrative agent, filed as Exhibit 10.2 to the Report on the Form 8-K filed with the SEC on June 27, 2013, and incorporated herein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Executive Nonqualified Excess Plan, filed as Exhibit 10.57 to Form 10-K for the year ended December 31, 2013, and incorporated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Third Amended and Restated Executive Employment Agreement, entered into on February 25, 2014, by and between the registrant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and Robert J. Coury, filed as Exhibit 10.1 to the Report on Form 8-K filed with the SEC on February 28, 2014, and incorporated herein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Second Amended and Restated Executive Employment Agreement, entered into on February 25, 2014, by and between the registrant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Heather Bresch, filed as Exhibit 10.3 to the Report on Form 8-K filed with the SEC on February 28, 2014, and incorporated herein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Second Amended and Restated Executive Employment Agreement, entered into on February 25, 2014, by and between the registrant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Rajiv Malik, filed as Exhibit 10.4 to the Report on Form 8-K filed with the SEC on February 28, 2014, and incorporated herein by</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Retirement and Consulting Agreement and Release, dated August 1, 2014, by and between Harry A. Korman and the registrant, filed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Exhibit 10.2 to Form 10-Q for the quarter ended September 30, 2014, and incorporated herein by reference.*</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10.56(a)</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One-Time Special Five-Year Performance-Based Realizable Value Incentive Program Waiver Letter by and between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 and certain executive officers of the registrant.*</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10.56(b)</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One-Time Special Five-Year Performance-Based Realizable Value Incentive Program Waiver Letter by and between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 and certain employees of the registrant.*</w:t>
            </w:r>
          </w:p>
        </w:tc>
        <w:tc>
          <w:tcPr>
            <w:tcW w:w="0" w:type="dxa"/>
            <w:vAlign w:val="bottom"/>
          </w:tcPr>
          <w:p>
            <w:pPr>
              <w:spacing w:after="0"/>
              <w:rPr>
                <w:sz w:val="1"/>
                <w:szCs w:val="1"/>
                <w:color w:val="auto"/>
              </w:rPr>
            </w:pPr>
          </w:p>
        </w:tc>
      </w:tr>
      <w:tr>
        <w:trPr>
          <w:trHeight w:val="37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Transition and Succession Agreement Waiver Letter by and between the registrant and certain executive officers of the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Form of Retirement Benefit Agreement Waiver Letter by and between the registrant and certain executive officers of the registrant.*</w:t>
            </w: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Letter Agreement, entered into on November 4, 2014, by and between the registrant and Robert J. Coury.*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742" w:right="259" w:bottom="144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1360"/>
          </w:cols>
          <w:pgMar w:left="280" w:top="742" w:right="259" w:bottom="1440" w:gutter="0" w:footer="0" w:header="0"/>
          <w:type w:val="continuous"/>
        </w:sectPr>
      </w:pPr>
    </w:p>
    <w:bookmarkStart w:id="141" w:name="page142"/>
    <w:bookmarkEnd w:id="141"/>
    <w:tbl>
      <w:tblPr>
        <w:tblLayout w:type="fixed"/>
        <w:tblInd w:w="5"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Revolving Credit Agreement, dated as of December 19, 2014, among the registrant, certain other borrowers and guarantors party</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thereto, the lenders and issuing banks party thereto and Bank of America, N.A. as Administrative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Credit Agreement, dated as of December 19, 2014, among the registrant, certain other borrowers and guarantors party thereto,</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lenders party thereto and Bank of America, N.A. as Administrative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Receivables Purchase Agreement, dated as of January 27, 2015, among Mylan Pharmaceuticals Inc.,</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individually and as Servicer, Mylan Securitization LLC, as Seller, the Conduit Purchasers from time to time party thereto, the</w:t>
            </w:r>
          </w:p>
        </w:tc>
      </w:tr>
      <w:tr>
        <w:trPr>
          <w:trHeight w:val="216"/>
        </w:trPr>
        <w:tc>
          <w:tcPr>
            <w:tcW w:w="1140" w:type="dxa"/>
            <w:vAlign w:val="bottom"/>
          </w:tcPr>
          <w:p>
            <w:pPr>
              <w:spacing w:after="0"/>
              <w:rPr>
                <w:sz w:val="18"/>
                <w:szCs w:val="18"/>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Committed Purchasers from time to time party thereto, the Purchaser Agents from time to time party thereto, the LOC Issuers from</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time to time party thereto, and The Bank of Tokyo-Mitsubishi UFJ, Ltd., New York Branch, as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Purchase and Contribution Agreement, dated as of January 27, 2015, between Mylan Pharmaceuticals Inc., as</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Originator and as Servicer, and Mylan Securitization LLC, as Buyer.</w:t>
            </w: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 and Preferred Stock Dividends.</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w:t>
            </w:r>
          </w:p>
        </w:tc>
      </w:tr>
      <w:tr>
        <w:trPr>
          <w:trHeight w:val="234"/>
        </w:trPr>
        <w:tc>
          <w:tcPr>
            <w:tcW w:w="1140" w:type="dxa"/>
            <w:vAlign w:val="bottom"/>
          </w:tcPr>
          <w:p>
            <w:pPr>
              <w:spacing w:after="0"/>
              <w:rPr>
                <w:sz w:val="20"/>
                <w:szCs w:val="20"/>
                <w:color w:val="auto"/>
              </w:rPr>
            </w:pP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2002.</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bl>
    <w:p>
      <w:pPr>
        <w:spacing w:after="0" w:line="171" w:lineRule="exact"/>
        <w:rPr>
          <w:sz w:val="20"/>
          <w:szCs w:val="20"/>
          <w:color w:val="auto"/>
        </w:rPr>
      </w:pPr>
    </w:p>
    <w:p>
      <w:pPr>
        <w:ind w:left="585" w:hanging="585"/>
        <w:spacing w:after="0"/>
        <w:tabs>
          <w:tab w:leader="none" w:pos="5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63" w:lineRule="exact"/>
        <w:rPr>
          <w:sz w:val="20"/>
          <w:szCs w:val="20"/>
          <w:color w:val="auto"/>
        </w:rPr>
      </w:pPr>
    </w:p>
    <w:p>
      <w:pPr>
        <w:ind w:left="585" w:hanging="585"/>
        <w:spacing w:after="0"/>
        <w:tabs>
          <w:tab w:leader="none" w:pos="5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request for confidential treatment with respect to certain portions of this exhibit has been accepted.</w:t>
      </w:r>
    </w:p>
    <w:p>
      <w:pPr>
        <w:spacing w:after="0" w:line="63" w:lineRule="exact"/>
        <w:rPr>
          <w:rFonts w:ascii="Times New Roman" w:cs="Times New Roman" w:eastAsia="Times New Roman" w:hAnsi="Times New Roman"/>
          <w:sz w:val="18"/>
          <w:szCs w:val="18"/>
          <w:color w:val="auto"/>
        </w:rPr>
      </w:pPr>
    </w:p>
    <w:p>
      <w:pPr>
        <w:ind w:left="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601(b)(2) of Regulation S-K. The Company will furnish a copy of any omitted exhibits</w:t>
      </w:r>
    </w:p>
    <w:p>
      <w:pPr>
        <w:spacing w:after="0" w:line="2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and schedules to the Securities and Exchange Commission upon request but may request confidential treatment for any exhibit or schedule so</w:t>
      </w:r>
    </w:p>
    <w:p>
      <w:pPr>
        <w:spacing w:after="0" w:line="9" w:lineRule="exact"/>
        <w:rPr>
          <w:sz w:val="20"/>
          <w:szCs w:val="20"/>
          <w:color w:val="auto"/>
        </w:rPr>
      </w:pPr>
    </w:p>
    <w:p>
      <w:pPr>
        <w:ind w:left="585" w:hanging="585"/>
        <w:spacing w:after="0"/>
        <w:tabs>
          <w:tab w:leader="none" w:pos="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w:t>
      </w:r>
    </w:p>
    <w:p>
      <w:pPr>
        <w:spacing w:after="0" w:line="26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5"/>
          </w:cols>
          <w:pgMar w:left="275" w:top="742" w:right="279" w:bottom="1440" w:gutter="0" w:footer="0" w:header="0"/>
        </w:sectPr>
      </w:pPr>
    </w:p>
    <w:bookmarkStart w:id="142" w:name="page143"/>
    <w:bookmarkEnd w:id="14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to be signed on its behalf by the undersigned, thereunto duly authorized on March 2, 2015.</w:t>
      </w:r>
    </w:p>
    <w:p>
      <w:pPr>
        <w:spacing w:after="0" w:line="2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Mylan Inc.</w:t>
      </w:r>
    </w:p>
    <w:p>
      <w:pPr>
        <w:spacing w:after="0" w:line="185" w:lineRule="exact"/>
        <w:rPr>
          <w:sz w:val="20"/>
          <w:szCs w:val="20"/>
          <w:color w:val="auto"/>
        </w:rPr>
      </w:pPr>
    </w:p>
    <w:p>
      <w:pPr>
        <w:ind w:left="6600"/>
        <w:spacing w:after="0"/>
        <w:tabs>
          <w:tab w:leader="none" w:pos="6980" w:val="left"/>
          <w:tab w:leader="none" w:pos="732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34290</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Heather Bresch</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4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has been signed below by the following persons on behalf of the registrant and in the capacities indicated as of March 2,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HEATHER BRESCH</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vMerge w:val="restart"/>
          </w:tcPr>
          <w:p>
            <w:pPr>
              <w:jc w:val="center"/>
              <w:ind w:left="12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Heather Bresch</w:t>
            </w:r>
          </w:p>
        </w:tc>
        <w:tc>
          <w:tcPr>
            <w:tcW w:w="5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JOHN D. SHEEHAN</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vMerge w:val="restart"/>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D. Sheehan</w:t>
            </w:r>
          </w:p>
        </w:tc>
        <w:tc>
          <w:tcPr>
            <w:tcW w:w="5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ROBERT J. COURY</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J. Coury</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RODNEY L. PIATT</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Vice Chairman and 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Rodney L. Piatt</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WENDY CAMERON</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Wendy Cameron</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ROBERT J. CINDRICH</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J. Cindrich</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JOELLEN LYONS DILLON</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JoEllen Lyons Dillon</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NEIL DIMICK</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Neil Dimick</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MELINA HIGGINS</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Melina Higgins</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DOUGLAS J. LEECH</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J. Leech</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RAJIV MALIK</w:t>
            </w:r>
          </w:p>
        </w:tc>
        <w:tc>
          <w:tcPr>
            <w:tcW w:w="516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President and 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Rajiv Malik</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JOSEPH C. MAROON, M.D.</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C. Maroon, M.D.</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MARK W. PARRISH</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W. Parrish</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4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RANDALL L. VANDERVEEN, PH.D.</w:t>
            </w:r>
          </w:p>
        </w:tc>
        <w:tc>
          <w:tcPr>
            <w:tcW w:w="51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Randall L. Vanderveen, Ph.D.</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576" w:right="479" w:bottom="1440" w:gutter="0" w:footer="0" w:header="0"/>
        </w:sectPr>
      </w:pPr>
    </w:p>
    <w:p>
      <w:pPr>
        <w:spacing w:after="0" w:line="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1180"/>
          </w:cols>
          <w:pgMar w:left="240" w:top="576" w:right="479" w:bottom="1440" w:gutter="0" w:footer="0" w:header="0"/>
          <w:type w:val="continuous"/>
        </w:sectPr>
      </w:pPr>
    </w:p>
    <w:bookmarkStart w:id="143" w:name="page144"/>
    <w:bookmarkEnd w:id="143"/>
    <w:tbl>
      <w:tblPr>
        <w:tblLayout w:type="fixed"/>
        <w:tblInd w:w="5"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6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10.41(b)</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to Mylan 401(k) Restoration Plan, dated November 4, 2014.*</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10.42(b)</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 to Mylan Executive Income Deferral Plan, dated November 4, 2014.*</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10.56(a)</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One-Time Special Five-Year Performance-Based Realizable Value Incentive Program Waiver Letter by and between the</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 and certain executive officers of the registrant.*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10.56(b)</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One-Time Special Five-Year Performance-Based Realizable Value Incentive Program Waiver Letter by and between the</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 and certain employees of the registrant.*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Transition and Succession Agreement Waiver Letter by and between the registrant and certain executive officers of the</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registrant.*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Retirement Benefit Agreement Waiver Letter by and between the registrant and certain executive officers of the registrant.*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Letter Agreement, entered into on November 4, 2014, by and between the registrant and Robert J. Coury.*</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Revolving Credit Agreement, dated as of December 19, 2014, among the registrant, certain other borrowers and guarantors party</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thereto, the lenders and issuing banks party thereto and Bank of America, N.A. as Administrative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Credit Agreement, dated as of December 19, 2014, among the registrant, certain other borrowers and guarantors party thereto,</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lenders party thereto and Bank of America, N.A. as Administrative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Amended and Restated Receivables Purchase Agreement, dated as of January 27, 2015, among Mylan Pharmaceuticals Inc.,</w:t>
            </w:r>
          </w:p>
        </w:tc>
      </w:tr>
      <w:tr>
        <w:trPr>
          <w:trHeight w:val="216"/>
        </w:trPr>
        <w:tc>
          <w:tcPr>
            <w:tcW w:w="114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individually and as Servicer, Mylan Securitization LLC, as Seller, the Conduit Purchasers from time to time party thereto, the</w:t>
            </w:r>
          </w:p>
        </w:tc>
      </w:tr>
      <w:tr>
        <w:trPr>
          <w:trHeight w:val="216"/>
        </w:trPr>
        <w:tc>
          <w:tcPr>
            <w:tcW w:w="1140" w:type="dxa"/>
            <w:vAlign w:val="bottom"/>
          </w:tcPr>
          <w:p>
            <w:pPr>
              <w:spacing w:after="0"/>
              <w:rPr>
                <w:sz w:val="18"/>
                <w:szCs w:val="18"/>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Committed Purchasers from time to time party thereto, the Purchaser Agents from time to time party thereto, the LOC Issuers from</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time to time party thereto, and The Bank of Tokyo-Mitsubishi UFJ, Ltd., New York Branch, as Agent.</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Amended and Restated Purchase and Contribution Agreement, dated as of January 27, 2015, between Mylan Pharmaceuticals Inc., as</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Originator and as Servicer, and Mylan Securitization LLC, as Buyer.</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Statement of Computation of Ratios of Earnings to Fixed Charges and Preferred Stock Dividends.</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37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w:t>
            </w:r>
          </w:p>
        </w:tc>
      </w:tr>
      <w:tr>
        <w:trPr>
          <w:trHeight w:val="234"/>
        </w:trPr>
        <w:tc>
          <w:tcPr>
            <w:tcW w:w="1140" w:type="dxa"/>
            <w:vAlign w:val="bottom"/>
          </w:tcPr>
          <w:p>
            <w:pPr>
              <w:spacing w:after="0"/>
              <w:rPr>
                <w:sz w:val="20"/>
                <w:szCs w:val="20"/>
                <w:color w:val="auto"/>
              </w:rPr>
            </w:pP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2002.</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bl>
    <w:p>
      <w:pPr>
        <w:spacing w:after="0" w:line="387" w:lineRule="exact"/>
        <w:rPr>
          <w:sz w:val="20"/>
          <w:szCs w:val="20"/>
          <w:color w:val="auto"/>
        </w:rPr>
      </w:pPr>
    </w:p>
    <w:p>
      <w:pPr>
        <w:ind w:left="5545" w:right="5420" w:hanging="5545"/>
        <w:spacing w:after="0" w:line="574" w:lineRule="auto"/>
        <w:tabs>
          <w:tab w:leader="none" w:pos="58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management contract or compensatory plan or arrangement. 143</w:t>
      </w:r>
    </w:p>
    <w:p>
      <w:pPr>
        <w:sectPr>
          <w:pgSz w:w="11900" w:h="16838" w:orient="portrait"/>
          <w:cols w:equalWidth="0" w:num="1">
            <w:col w:w="11225"/>
          </w:cols>
          <w:pgMar w:left="275" w:top="576" w:right="3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374015</wp:posOffset>
            </wp:positionV>
            <wp:extent cx="1355090"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5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Canonsburg, PA 15317 USA</w:t>
      </w:r>
    </w:p>
    <w:p>
      <w:pPr>
        <w:spacing w:after="0" w:line="9" w:lineRule="exact"/>
        <w:rPr>
          <w:sz w:val="20"/>
          <w:szCs w:val="20"/>
          <w:color w:val="auto"/>
        </w:rPr>
      </w:pPr>
    </w:p>
    <w:p>
      <w:pPr>
        <w:ind w:left="8260"/>
        <w:spacing w:after="0"/>
        <w:tabs>
          <w:tab w:leader="none" w:pos="8860" w:val="left"/>
        </w:tabs>
        <w:rPr>
          <w:sz w:val="20"/>
          <w:szCs w:val="20"/>
          <w:color w:val="auto"/>
        </w:rPr>
      </w:pPr>
      <w:r>
        <w:rPr>
          <w:rFonts w:ascii="Times New Roman" w:cs="Times New Roman" w:eastAsia="Times New Roman" w:hAnsi="Times New Roman"/>
          <w:sz w:val="18"/>
          <w:szCs w:val="18"/>
          <w:color w:val="auto"/>
        </w:rPr>
        <w:t>Phone</w:t>
        <w:tab/>
        <w:t>724.514.1800</w:t>
      </w:r>
    </w:p>
    <w:p>
      <w:pPr>
        <w:spacing w:after="0" w:line="9" w:lineRule="exact"/>
        <w:rPr>
          <w:sz w:val="20"/>
          <w:szCs w:val="20"/>
          <w:color w:val="auto"/>
        </w:rPr>
      </w:pPr>
    </w:p>
    <w:p>
      <w:pPr>
        <w:ind w:left="8260"/>
        <w:spacing w:after="0"/>
        <w:tabs>
          <w:tab w:leader="none" w:pos="8680" w:val="left"/>
        </w:tabs>
        <w:rPr>
          <w:sz w:val="20"/>
          <w:szCs w:val="20"/>
          <w:color w:val="auto"/>
        </w:rPr>
      </w:pPr>
      <w:r>
        <w:rPr>
          <w:rFonts w:ascii="Times New Roman" w:cs="Times New Roman" w:eastAsia="Times New Roman" w:hAnsi="Times New Roman"/>
          <w:sz w:val="18"/>
          <w:szCs w:val="18"/>
          <w:color w:val="auto"/>
        </w:rPr>
        <w:t>Fax</w:t>
        <w:tab/>
        <w:t>724.514.1870</w:t>
      </w:r>
    </w:p>
    <w:p>
      <w:pPr>
        <w:spacing w:after="0" w:line="9" w:lineRule="exact"/>
        <w:rPr>
          <w:sz w:val="20"/>
          <w:szCs w:val="20"/>
          <w:color w:val="auto"/>
        </w:rPr>
      </w:pPr>
    </w:p>
    <w:p>
      <w:pPr>
        <w:ind w:left="8260"/>
        <w:spacing w:after="0"/>
        <w:tabs>
          <w:tab w:leader="none" w:pos="8740" w:val="left"/>
        </w:tabs>
        <w:rPr>
          <w:sz w:val="20"/>
          <w:szCs w:val="20"/>
          <w:color w:val="auto"/>
        </w:rPr>
      </w:pPr>
      <w:r>
        <w:rPr>
          <w:rFonts w:ascii="Times New Roman" w:cs="Times New Roman" w:eastAsia="Times New Roman" w:hAnsi="Times New Roman"/>
          <w:sz w:val="18"/>
          <w:szCs w:val="18"/>
          <w:color w:val="auto"/>
        </w:rPr>
        <w:t>Web</w:t>
        <w:tab/>
        <w:t>mylan.com</w:t>
      </w:r>
    </w:p>
    <w:p>
      <w:pPr>
        <w:spacing w:after="0" w:line="200" w:lineRule="exact"/>
        <w:rPr>
          <w:sz w:val="20"/>
          <w:szCs w:val="20"/>
          <w:color w:val="auto"/>
        </w:rPr>
      </w:pPr>
    </w:p>
    <w:p>
      <w:pPr>
        <w:spacing w:after="0" w:line="33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Transition and Succession Agreement</w:t>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Waiver Letter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w:t>
      </w:r>
    </w:p>
    <w:p>
      <w:pPr>
        <w:spacing w:after="0" w:line="260" w:lineRule="exact"/>
        <w:rPr>
          <w:sz w:val="20"/>
          <w:szCs w:val="20"/>
          <w:color w:val="auto"/>
        </w:rPr>
      </w:pPr>
    </w:p>
    <w:p>
      <w:pPr>
        <w:ind w:right="100" w:firstLine="1297"/>
        <w:spacing w:after="0" w:line="246" w:lineRule="auto"/>
        <w:rPr>
          <w:sz w:val="20"/>
          <w:szCs w:val="20"/>
          <w:color w:val="auto"/>
        </w:rPr>
      </w:pPr>
      <w:r>
        <w:rPr>
          <w:rFonts w:ascii="Times New Roman" w:cs="Times New Roman" w:eastAsia="Times New Roman" w:hAnsi="Times New Roman"/>
          <w:sz w:val="22"/>
          <w:szCs w:val="22"/>
          <w:color w:val="auto"/>
        </w:rPr>
        <w:t>Reference is made to your Transition and Succession Agreement with Mylan Inc. (the “Company”), as such agreement has been and may be amended from time to time (the “T&amp;S Agreement”). The T&amp;S Agreement provides for the possibility of enhanced benefits or rights following a Change in Control of the Company (as such term is defined in the T&amp;S Agreement). By executing this waiver letter, for good and valuable consideration (including your continued employment and continued participation in the Company’s incentive plans and programs), you acknowledge and agree that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T&amp;S Agreement. All other provisions of the T&amp;S Agreement, as modified by the foregoing, shall remain in full force and effect notwithstanding this waiver letter.</w:t>
      </w:r>
    </w:p>
    <w:p>
      <w:pPr>
        <w:spacing w:after="0" w:line="38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217170</wp:posOffset>
            </wp:positionV>
            <wp:extent cx="2109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3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2"/>
          <w:szCs w:val="22"/>
          <w:color w:val="auto"/>
        </w:rPr>
        <w:t>Title: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420"/>
          </w:cols>
          <w:pgMar w:left="240" w:top="986" w:right="2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Exhibit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374015</wp:posOffset>
            </wp:positionV>
            <wp:extent cx="135509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55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Canonsburg, PA 15317 USA</w:t>
      </w:r>
    </w:p>
    <w:p>
      <w:pPr>
        <w:spacing w:after="0" w:line="9" w:lineRule="exact"/>
        <w:rPr>
          <w:sz w:val="20"/>
          <w:szCs w:val="20"/>
          <w:color w:val="auto"/>
        </w:rPr>
      </w:pPr>
    </w:p>
    <w:p>
      <w:pPr>
        <w:ind w:left="8260"/>
        <w:spacing w:after="0"/>
        <w:tabs>
          <w:tab w:leader="none" w:pos="8860" w:val="left"/>
        </w:tabs>
        <w:rPr>
          <w:sz w:val="20"/>
          <w:szCs w:val="20"/>
          <w:color w:val="auto"/>
        </w:rPr>
      </w:pPr>
      <w:r>
        <w:rPr>
          <w:rFonts w:ascii="Times New Roman" w:cs="Times New Roman" w:eastAsia="Times New Roman" w:hAnsi="Times New Roman"/>
          <w:sz w:val="18"/>
          <w:szCs w:val="18"/>
          <w:color w:val="auto"/>
        </w:rPr>
        <w:t>Phone</w:t>
        <w:tab/>
        <w:t>724.514.1800</w:t>
      </w:r>
    </w:p>
    <w:p>
      <w:pPr>
        <w:spacing w:after="0" w:line="9" w:lineRule="exact"/>
        <w:rPr>
          <w:sz w:val="20"/>
          <w:szCs w:val="20"/>
          <w:color w:val="auto"/>
        </w:rPr>
      </w:pPr>
    </w:p>
    <w:p>
      <w:pPr>
        <w:ind w:left="8260"/>
        <w:spacing w:after="0"/>
        <w:tabs>
          <w:tab w:leader="none" w:pos="8680" w:val="left"/>
        </w:tabs>
        <w:rPr>
          <w:sz w:val="20"/>
          <w:szCs w:val="20"/>
          <w:color w:val="auto"/>
        </w:rPr>
      </w:pPr>
      <w:r>
        <w:rPr>
          <w:rFonts w:ascii="Times New Roman" w:cs="Times New Roman" w:eastAsia="Times New Roman" w:hAnsi="Times New Roman"/>
          <w:sz w:val="18"/>
          <w:szCs w:val="18"/>
          <w:color w:val="auto"/>
        </w:rPr>
        <w:t>Fax</w:t>
        <w:tab/>
        <w:t>724.514.1870</w:t>
      </w:r>
    </w:p>
    <w:p>
      <w:pPr>
        <w:spacing w:after="0" w:line="9" w:lineRule="exact"/>
        <w:rPr>
          <w:sz w:val="20"/>
          <w:szCs w:val="20"/>
          <w:color w:val="auto"/>
        </w:rPr>
      </w:pPr>
    </w:p>
    <w:p>
      <w:pPr>
        <w:ind w:left="8260"/>
        <w:spacing w:after="0"/>
        <w:tabs>
          <w:tab w:leader="none" w:pos="8740" w:val="left"/>
        </w:tabs>
        <w:rPr>
          <w:sz w:val="20"/>
          <w:szCs w:val="20"/>
          <w:color w:val="auto"/>
        </w:rPr>
      </w:pPr>
      <w:r>
        <w:rPr>
          <w:rFonts w:ascii="Times New Roman" w:cs="Times New Roman" w:eastAsia="Times New Roman" w:hAnsi="Times New Roman"/>
          <w:sz w:val="18"/>
          <w:szCs w:val="18"/>
          <w:color w:val="auto"/>
        </w:rPr>
        <w:t>Web</w:t>
        <w:tab/>
        <w:t>mylan.com</w:t>
      </w:r>
    </w:p>
    <w:p>
      <w:pPr>
        <w:spacing w:after="0" w:line="27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Retirement Benefit Agreement</w:t>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Waiver Letter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w:t>
      </w:r>
    </w:p>
    <w:p>
      <w:pPr>
        <w:spacing w:after="0" w:line="260" w:lineRule="exact"/>
        <w:rPr>
          <w:sz w:val="20"/>
          <w:szCs w:val="20"/>
          <w:color w:val="auto"/>
        </w:rPr>
      </w:pPr>
    </w:p>
    <w:p>
      <w:pPr>
        <w:ind w:firstLine="1297"/>
        <w:spacing w:after="0" w:line="246" w:lineRule="auto"/>
        <w:rPr>
          <w:sz w:val="20"/>
          <w:szCs w:val="20"/>
          <w:color w:val="auto"/>
        </w:rPr>
      </w:pPr>
      <w:r>
        <w:rPr>
          <w:rFonts w:ascii="Times New Roman" w:cs="Times New Roman" w:eastAsia="Times New Roman" w:hAnsi="Times New Roman"/>
          <w:sz w:val="22"/>
          <w:szCs w:val="22"/>
          <w:color w:val="auto"/>
        </w:rPr>
        <w:t>Reference is made to your Retirement Benefit Agreement with Mylan Inc. (the “Company”), as such agreement has been and may be amended from time to time (the “RBA”). The RBA provides for the possibility of accelerated vesting and certain other modifications upon a Change in Control of the Company (as such term is defined in the RBA). By executing this waiver letter, for good and valuable consideration (including your continued employment and continued participation in the Company’s incentive plans and programs), you acknowledge and agree that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RBA. All other provisions of the RBA, as modified by the foregoing, shall remain in full force and effect notwithstanding this waiver letter.</w:t>
      </w:r>
    </w:p>
    <w:p>
      <w:pPr>
        <w:spacing w:after="0" w:line="38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217170</wp:posOffset>
            </wp:positionV>
            <wp:extent cx="2109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3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22"/>
          <w:szCs w:val="22"/>
          <w:color w:val="auto"/>
        </w:rPr>
        <w:t>Title: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420"/>
          </w:cols>
          <w:pgMar w:left="240" w:top="986" w:right="239" w:bottom="1440" w:gutter="0" w:footer="0" w:header="0"/>
        </w:sectPr>
      </w:pPr>
    </w:p>
    <w:bookmarkStart w:id="146" w:name="page147"/>
    <w:bookmarkEnd w:id="146"/>
    <w:p>
      <w:pPr>
        <w:ind w:left="10200"/>
        <w:spacing w:after="0"/>
        <w:rPr>
          <w:sz w:val="20"/>
          <w:szCs w:val="20"/>
          <w:color w:val="auto"/>
        </w:rPr>
      </w:pPr>
      <w:r>
        <w:rPr>
          <w:rFonts w:ascii="Times New Roman" w:cs="Times New Roman" w:eastAsia="Times New Roman" w:hAnsi="Times New Roman"/>
          <w:sz w:val="21"/>
          <w:szCs w:val="21"/>
          <w:b w:val="1"/>
          <w:bCs w:val="1"/>
          <w:color w:val="auto"/>
        </w:rPr>
        <w:t>Exhibit 10.59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381000</wp:posOffset>
            </wp:positionV>
            <wp:extent cx="1355090"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55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Canonsburg, PA 15317 USA</w:t>
      </w:r>
    </w:p>
    <w:p>
      <w:pPr>
        <w:spacing w:after="0" w:line="9" w:lineRule="exact"/>
        <w:rPr>
          <w:sz w:val="20"/>
          <w:szCs w:val="20"/>
          <w:color w:val="auto"/>
        </w:rPr>
      </w:pPr>
    </w:p>
    <w:p>
      <w:pPr>
        <w:ind w:left="8260"/>
        <w:spacing w:after="0"/>
        <w:tabs>
          <w:tab w:leader="none" w:pos="8860" w:val="left"/>
        </w:tabs>
        <w:rPr>
          <w:sz w:val="20"/>
          <w:szCs w:val="20"/>
          <w:color w:val="auto"/>
        </w:rPr>
      </w:pPr>
      <w:r>
        <w:rPr>
          <w:rFonts w:ascii="Times New Roman" w:cs="Times New Roman" w:eastAsia="Times New Roman" w:hAnsi="Times New Roman"/>
          <w:sz w:val="18"/>
          <w:szCs w:val="18"/>
          <w:color w:val="auto"/>
        </w:rPr>
        <w:t>Phone</w:t>
        <w:tab/>
        <w:t>724.514.1800</w:t>
      </w:r>
    </w:p>
    <w:p>
      <w:pPr>
        <w:spacing w:after="0" w:line="9" w:lineRule="exact"/>
        <w:rPr>
          <w:sz w:val="20"/>
          <w:szCs w:val="20"/>
          <w:color w:val="auto"/>
        </w:rPr>
      </w:pPr>
    </w:p>
    <w:p>
      <w:pPr>
        <w:ind w:left="8260"/>
        <w:spacing w:after="0"/>
        <w:tabs>
          <w:tab w:leader="none" w:pos="8680" w:val="left"/>
        </w:tabs>
        <w:rPr>
          <w:sz w:val="20"/>
          <w:szCs w:val="20"/>
          <w:color w:val="auto"/>
        </w:rPr>
      </w:pPr>
      <w:r>
        <w:rPr>
          <w:rFonts w:ascii="Times New Roman" w:cs="Times New Roman" w:eastAsia="Times New Roman" w:hAnsi="Times New Roman"/>
          <w:sz w:val="18"/>
          <w:szCs w:val="18"/>
          <w:color w:val="auto"/>
        </w:rPr>
        <w:t>Fax</w:t>
        <w:tab/>
        <w:t>724.514.1870</w:t>
      </w:r>
    </w:p>
    <w:p>
      <w:pPr>
        <w:spacing w:after="0" w:line="9" w:lineRule="exact"/>
        <w:rPr>
          <w:sz w:val="20"/>
          <w:szCs w:val="20"/>
          <w:color w:val="auto"/>
        </w:rPr>
      </w:pPr>
    </w:p>
    <w:p>
      <w:pPr>
        <w:ind w:left="8260"/>
        <w:spacing w:after="0"/>
        <w:tabs>
          <w:tab w:leader="none" w:pos="8740" w:val="left"/>
        </w:tabs>
        <w:rPr>
          <w:sz w:val="20"/>
          <w:szCs w:val="20"/>
          <w:color w:val="auto"/>
        </w:rPr>
      </w:pPr>
      <w:r>
        <w:rPr>
          <w:rFonts w:ascii="Times New Roman" w:cs="Times New Roman" w:eastAsia="Times New Roman" w:hAnsi="Times New Roman"/>
          <w:sz w:val="18"/>
          <w:szCs w:val="18"/>
          <w:color w:val="auto"/>
        </w:rPr>
        <w:t>Web</w:t>
        <w:tab/>
        <w:t>mylan.com</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November 4, 2014</w:t>
      </w:r>
    </w:p>
    <w:p>
      <w:pPr>
        <w:spacing w:after="0" w:line="200" w:lineRule="exact"/>
        <w:rPr>
          <w:sz w:val="20"/>
          <w:szCs w:val="20"/>
          <w:color w:val="auto"/>
        </w:rPr>
      </w:pPr>
    </w:p>
    <w:p>
      <w:pPr>
        <w:spacing w:after="0" w:line="23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9"/>
          <w:szCs w:val="19"/>
          <w:u w:val="single" w:color="auto"/>
          <w:color w:val="auto"/>
        </w:rPr>
        <w:t>Letter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Robert:</w:t>
      </w:r>
    </w:p>
    <w:p>
      <w:pPr>
        <w:spacing w:after="0" w:line="214" w:lineRule="exact"/>
        <w:rPr>
          <w:sz w:val="20"/>
          <w:szCs w:val="20"/>
          <w:color w:val="auto"/>
        </w:rPr>
      </w:pPr>
    </w:p>
    <w:p>
      <w:pPr>
        <w:ind w:right="40" w:firstLine="1297"/>
        <w:spacing w:after="0" w:line="238" w:lineRule="auto"/>
        <w:rPr>
          <w:sz w:val="20"/>
          <w:szCs w:val="20"/>
          <w:color w:val="auto"/>
        </w:rPr>
      </w:pPr>
      <w:r>
        <w:rPr>
          <w:rFonts w:ascii="Times New Roman" w:cs="Times New Roman" w:eastAsia="Times New Roman" w:hAnsi="Times New Roman"/>
          <w:sz w:val="19"/>
          <w:szCs w:val="19"/>
          <w:color w:val="auto"/>
        </w:rPr>
        <w:t>Reference is made to your Third Amended and Restated Executive Employment Agreement, entered into on February 25, 2014 and effective as of January 1, 2014, with Mylan Inc. (the “Company”), as such agreement may be amended from time to time (the “Employment Agreement”). The Employment Agreement provides for certain benefits upon a termination of employment with Good Reason (as such term is defined in the Employment Agreement). By executing this letter agreement, for good and valuable consideration (including the agreement of the parties hereto that, by entering into this letter agreement, immediately following the consummation of the Transaction (as defined below), you shall have the title and position of Executive Chairman of Mylan N.V., the term “Executive Chairman” as used in the Employment Agreement shall include the title and position of Executive Chairman of Mylan N.V., the authority, duties and responsibilities set forth in Section 1 of the Employment Agreement shall include the corresponding authority, duties and responsibilities associated with your title and position as Executive Chairman of Mylan N.V., you shall serve as Chairman of the board of directors of Mylan N.V. and references to “the Company” in the definition of Good Reason shall be deemed to refer to both Mylan Inc. and Mylan N.V.), you acknowledge and agree that you will not have Good Reason under clause (1) of the definition thereof for any purpose of the Employment Agreement solely as a result of (i) the Company becoming a wholly-owned subsidiary of Mylan N.V. pursuant to the Business Transfer Agreement and Plan of Merger, dated as of July 13, 2014, by and among Abbott Laboratories, an Illinois corporation, the Company and the other parties thereto, as amended and as may be further amended from time to time (the transaction contemplated by such agreement, the “Transaction”), (ii) your becoming Executive Chairman of Mylan N.V., or (iii) your becoming a non-executive member of the board of directors of Mylan N.V. for purposes of Dutch law (collectively, the “Reorganization”). This letter agreement shall be effective solely with respect to the Reorganization, shall have no effect of any kind on whether any event, action or occurrence that occurs prior to and/or following the consummation of the Reorganization constitutes Good Reason, and shall not be deemed or construed as a waiver of any rights under the Employment Agreement except as expressly stated herein. All other provisions of the Employment Agreement, as modified by the foregoing, shall remain in full force and effect notwithstanding this letter agreement. This letter agreement shall be binding on the parents, subsidiaries and affiliates of the Company.</w:t>
      </w:r>
    </w:p>
    <w:p>
      <w:pPr>
        <w:sectPr>
          <w:pgSz w:w="11900" w:h="16838" w:orient="portrait"/>
          <w:cols w:equalWidth="0" w:num="1">
            <w:col w:w="11420"/>
          </w:cols>
          <w:pgMar w:left="240" w:top="878" w:right="239" w:bottom="1440" w:gutter="0" w:footer="0" w:header="0"/>
        </w:sectPr>
      </w:pPr>
    </w:p>
    <w:bookmarkStart w:id="147" w:name="page148"/>
    <w:bookmarkEnd w:id="147"/>
    <w:p>
      <w:pPr>
        <w:ind w:left="7500"/>
        <w:spacing w:after="0"/>
        <w:rPr>
          <w:sz w:val="20"/>
          <w:szCs w:val="20"/>
          <w:color w:val="auto"/>
        </w:rPr>
      </w:pPr>
      <w:r>
        <w:rPr>
          <w:rFonts w:ascii="Times New Roman" w:cs="Times New Roman" w:eastAsia="Times New Roman" w:hAnsi="Times New Roman"/>
          <w:sz w:val="19"/>
          <w:szCs w:val="19"/>
          <w:color w:val="auto"/>
        </w:rPr>
        <w:t>MYLAN INC.,</w:t>
      </w:r>
    </w:p>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9"/>
          <w:szCs w:val="19"/>
          <w:color w:val="auto"/>
        </w:rPr>
        <w:t>By</w:t>
      </w:r>
    </w:p>
    <w:p>
      <w:pPr>
        <w:spacing w:after="0" w:line="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9"/>
          <w:szCs w:val="19"/>
          <w:color w:val="auto"/>
        </w:rPr>
        <w:t>/s/ Rodney L. Piatt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32385</wp:posOffset>
            </wp:positionV>
            <wp:extent cx="2109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4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9"/>
          <w:szCs w:val="19"/>
          <w:color w:val="auto"/>
        </w:rPr>
        <w:t>Name: Rodney L. Piatt</w:t>
      </w:r>
    </w:p>
    <w:p>
      <w:pPr>
        <w:spacing w:after="0" w:line="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9"/>
          <w:szCs w:val="19"/>
          <w:color w:val="auto"/>
        </w:rPr>
        <w:t>Title: Chairman, Compensation</w:t>
      </w:r>
    </w:p>
    <w:p>
      <w:pPr>
        <w:spacing w:after="0" w:line="1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Committee of the Mylan Inc.</w:t>
      </w:r>
    </w:p>
    <w:p>
      <w:pPr>
        <w:spacing w:after="0" w:line="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9"/>
          <w:szCs w:val="19"/>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 and agreed: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47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Robert J. Coury</w:t>
      </w:r>
    </w:p>
    <w:p>
      <w:pPr>
        <w:sectPr>
          <w:pgSz w:w="11900" w:h="16838" w:orient="portrait"/>
          <w:cols w:equalWidth="0" w:num="1">
            <w:col w:w="10980"/>
          </w:cols>
          <w:pgMar w:left="240" w:top="775" w:right="6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dated as of</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December 19, 2014</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among</w:t>
      </w:r>
    </w:p>
    <w:p>
      <w:pPr>
        <w:spacing w:after="0" w:line="2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MYLAN INC.,</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as a Borrower</w:t>
      </w:r>
    </w:p>
    <w:p>
      <w:pPr>
        <w:spacing w:after="0" w:line="25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The other Borrowers and Guarantors party hereto</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5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and the Lenders and the Issuing Banks party hereto</w:t>
      </w:r>
    </w:p>
    <w:p>
      <w:pPr>
        <w:spacing w:after="0" w:line="200" w:lineRule="exact"/>
        <w:rPr>
          <w:sz w:val="20"/>
          <w:szCs w:val="20"/>
          <w:color w:val="auto"/>
        </w:rPr>
      </w:pPr>
    </w:p>
    <w:p>
      <w:pPr>
        <w:spacing w:after="0" w:line="31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1"/>
          <w:szCs w:val="21"/>
          <w:color w:val="auto"/>
        </w:rPr>
        <w:t>MERRILL LYNCH, PIERCE, FENNER &amp; SMITH INCORPORATED</w:t>
      </w:r>
    </w:p>
    <w:p>
      <w:pPr>
        <w:spacing w:after="0" w:line="3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CITIGROUP GLOBAL MARKETS INC.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CREDIT SUISSE SECURITIES (USA)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MORGAN STANLEY MUFG LOAN PARTNERS,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RBS SECURITIES INC.</w:t>
      </w:r>
    </w:p>
    <w:p>
      <w:pPr>
        <w:spacing w:after="0" w:line="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Joint Bookrunners and Joint Lead Arrangers</w:t>
      </w:r>
    </w:p>
    <w:p>
      <w:pPr>
        <w:sectPr>
          <w:pgSz w:w="11900" w:h="16838" w:orient="portrait"/>
          <w:cols w:equalWidth="0" w:num="1">
            <w:col w:w="10220"/>
          </w:cols>
          <w:pgMar w:left="1440" w:top="122"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83"/>
        </w:trPr>
        <w:tc>
          <w:tcPr>
            <w:tcW w:w="1380" w:type="dxa"/>
            <w:vAlign w:val="bottom"/>
          </w:tcPr>
          <w:p>
            <w:pPr>
              <w:spacing w:after="0"/>
              <w:rPr>
                <w:sz w:val="24"/>
                <w:szCs w:val="24"/>
                <w:color w:val="auto"/>
              </w:rPr>
            </w:pPr>
          </w:p>
        </w:tc>
        <w:tc>
          <w:tcPr>
            <w:tcW w:w="9460" w:type="dxa"/>
            <w:vAlign w:val="bottom"/>
          </w:tcPr>
          <w:p>
            <w:pPr>
              <w:ind w:left="3200"/>
              <w:spacing w:after="0"/>
              <w:rPr>
                <w:sz w:val="20"/>
                <w:szCs w:val="20"/>
                <w:color w:val="auto"/>
              </w:rPr>
            </w:pPr>
            <w:r>
              <w:rPr>
                <w:rFonts w:ascii="Times New Roman" w:cs="Times New Roman" w:eastAsia="Times New Roman" w:hAnsi="Times New Roman"/>
                <w:sz w:val="22"/>
                <w:szCs w:val="22"/>
                <w:color w:val="auto"/>
              </w:rPr>
              <w:t>TABLE OF CONTENTS</w:t>
            </w:r>
          </w:p>
        </w:tc>
        <w:tc>
          <w:tcPr>
            <w:tcW w:w="320" w:type="dxa"/>
            <w:vAlign w:val="bottom"/>
          </w:tcPr>
          <w:p>
            <w:pPr>
              <w:spacing w:after="0"/>
              <w:rPr>
                <w:sz w:val="24"/>
                <w:szCs w:val="24"/>
                <w:color w:val="auto"/>
              </w:rPr>
            </w:pPr>
          </w:p>
        </w:tc>
      </w:tr>
      <w:tr>
        <w:trPr>
          <w:trHeight w:val="812"/>
        </w:trPr>
        <w:tc>
          <w:tcPr>
            <w:tcW w:w="13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676"/>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w w:val="98"/>
              </w:rPr>
              <w:t>ARTICLE I</w:t>
            </w:r>
          </w:p>
        </w:tc>
        <w:tc>
          <w:tcPr>
            <w:tcW w:w="32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DEFINITIONS</w:t>
            </w:r>
          </w:p>
        </w:tc>
        <w:tc>
          <w:tcPr>
            <w:tcW w:w="320" w:type="dxa"/>
            <w:vAlign w:val="bottom"/>
          </w:tcPr>
          <w:p>
            <w:pPr>
              <w:spacing w:after="0"/>
              <w:rPr>
                <w:sz w:val="24"/>
                <w:szCs w:val="24"/>
                <w:color w:val="auto"/>
              </w:rPr>
            </w:pP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Defined Terms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Classification of Loans and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Terms Generally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Accounting Terms; GAAP</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Payments on Business Days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 Forma Compliance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Rounding</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Additional Alternative Currencies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 of Currency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Times of Day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Letter of Credit Amounts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Exchange Rates; Currency Equivalents; LIBO Rate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r>
      <w:tr>
        <w:trPr>
          <w:trHeight w:val="405"/>
        </w:trPr>
        <w:tc>
          <w:tcPr>
            <w:tcW w:w="1380" w:type="dxa"/>
            <w:vAlign w:val="bottom"/>
          </w:tcPr>
          <w:p>
            <w:pPr>
              <w:spacing w:after="0"/>
              <w:rPr>
                <w:sz w:val="24"/>
                <w:szCs w:val="24"/>
                <w:color w:val="auto"/>
              </w:rPr>
            </w:pPr>
          </w:p>
        </w:tc>
        <w:tc>
          <w:tcPr>
            <w:tcW w:w="94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ARTICLE II</w:t>
            </w:r>
          </w:p>
        </w:tc>
        <w:tc>
          <w:tcPr>
            <w:tcW w:w="320" w:type="dxa"/>
            <w:vAlign w:val="bottom"/>
          </w:tcPr>
          <w:p>
            <w:pPr>
              <w:spacing w:after="0"/>
              <w:rPr>
                <w:sz w:val="24"/>
                <w:szCs w:val="24"/>
                <w:color w:val="auto"/>
              </w:rPr>
            </w:pPr>
          </w:p>
        </w:tc>
      </w:tr>
      <w:tr>
        <w:trPr>
          <w:trHeight w:val="257"/>
        </w:trPr>
        <w:tc>
          <w:tcPr>
            <w:tcW w:w="1380" w:type="dxa"/>
            <w:vAlign w:val="bottom"/>
          </w:tcPr>
          <w:p>
            <w:pPr>
              <w:spacing w:after="0"/>
              <w:rPr>
                <w:sz w:val="22"/>
                <w:szCs w:val="22"/>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THE CREDITS</w:t>
            </w:r>
          </w:p>
        </w:tc>
        <w:tc>
          <w:tcPr>
            <w:tcW w:w="320" w:type="dxa"/>
            <w:vAlign w:val="bottom"/>
          </w:tcPr>
          <w:p>
            <w:pPr>
              <w:spacing w:after="0"/>
              <w:rPr>
                <w:sz w:val="22"/>
                <w:szCs w:val="22"/>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Commitments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Loans and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Requests for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Swingline Loans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Letters of Credit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Funding of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Market Disruption</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Termination and Reduction of Commitments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Repayment of Loans; Evidence of Debt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Prepayment of Loans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Fees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61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Alternate Rate of Interest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61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Increased Costs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62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Break Funding Payments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64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Taxes.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64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Payments Generally; Pro Rata Treatment; Sharing of Setoffs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74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Mitigation Obligations; Replacement of Lenders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76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Expansion Option</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77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Judgment Currency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78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Designated Borrower</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79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Extended Revolving Commitments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80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Successor Borrower</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83</w:t>
            </w:r>
          </w:p>
        </w:tc>
      </w:tr>
      <w:tr>
        <w:trPr>
          <w:trHeight w:val="405"/>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ARTICLE III</w:t>
            </w:r>
          </w:p>
        </w:tc>
        <w:tc>
          <w:tcPr>
            <w:tcW w:w="320" w:type="dxa"/>
            <w:vAlign w:val="bottom"/>
          </w:tcPr>
          <w:p>
            <w:pPr>
              <w:spacing w:after="0"/>
              <w:rPr>
                <w:sz w:val="24"/>
                <w:szCs w:val="24"/>
                <w:color w:val="auto"/>
              </w:rPr>
            </w:pPr>
          </w:p>
        </w:tc>
      </w:tr>
      <w:tr>
        <w:trPr>
          <w:trHeight w:val="257"/>
        </w:trPr>
        <w:tc>
          <w:tcPr>
            <w:tcW w:w="1380" w:type="dxa"/>
            <w:vAlign w:val="bottom"/>
          </w:tcPr>
          <w:p>
            <w:pPr>
              <w:spacing w:after="0"/>
              <w:rPr>
                <w:sz w:val="22"/>
                <w:szCs w:val="22"/>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w w:val="99"/>
              </w:rPr>
              <w:t>REPRESENTATIONS AND WARRANTIES</w:t>
            </w:r>
          </w:p>
        </w:tc>
        <w:tc>
          <w:tcPr>
            <w:tcW w:w="320" w:type="dxa"/>
            <w:vAlign w:val="bottom"/>
          </w:tcPr>
          <w:p>
            <w:pPr>
              <w:spacing w:after="0"/>
              <w:rPr>
                <w:sz w:val="22"/>
                <w:szCs w:val="22"/>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Organization; Powers; Subsidiaries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84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Authorization; Enforceability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84</w:t>
            </w:r>
          </w:p>
        </w:tc>
      </w:tr>
    </w:tbl>
    <w:p>
      <w:pPr>
        <w:spacing w:after="0" w:line="200" w:lineRule="exact"/>
        <w:rPr>
          <w:sz w:val="20"/>
          <w:szCs w:val="20"/>
          <w:color w:val="auto"/>
        </w:rPr>
      </w:pPr>
    </w:p>
    <w:p>
      <w:pPr>
        <w:sectPr>
          <w:pgSz w:w="11900" w:h="16838" w:orient="portrait"/>
          <w:cols w:equalWidth="0" w:num="1">
            <w:col w:w="11160"/>
          </w:cols>
          <w:pgMar w:left="280" w:top="342" w:right="4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280" w:top="342" w:right="45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Governmental Approvals; No Conflicts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84</w:t>
            </w:r>
          </w:p>
        </w:tc>
      </w:tr>
      <w:tr>
        <w:trPr>
          <w:trHeight w:val="249"/>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Statements; Financial Condition; No Material Adverse</w:t>
            </w:r>
          </w:p>
        </w:tc>
        <w:tc>
          <w:tcPr>
            <w:tcW w:w="1960" w:type="dxa"/>
            <w:vAlign w:val="bottom"/>
          </w:tcPr>
          <w:p>
            <w:pPr>
              <w:spacing w:after="0"/>
              <w:rPr>
                <w:sz w:val="21"/>
                <w:szCs w:val="21"/>
                <w:color w:val="auto"/>
              </w:rPr>
            </w:pPr>
          </w:p>
        </w:tc>
      </w:tr>
      <w:tr>
        <w:trPr>
          <w:trHeight w:val="210"/>
        </w:trPr>
        <w:tc>
          <w:tcPr>
            <w:tcW w:w="1380" w:type="dxa"/>
            <w:vAlign w:val="bottom"/>
          </w:tcPr>
          <w:p>
            <w:pPr>
              <w:spacing w:after="0"/>
              <w:rPr>
                <w:sz w:val="18"/>
                <w:szCs w:val="18"/>
                <w:color w:val="auto"/>
              </w:rPr>
            </w:pP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Change</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Properties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Litigation and Environmental Matters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Compliance with Laws and Agreements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Investment Company Status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3.09</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Taxes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3.10</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Solvency</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[Reserved]</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Disclosure</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Federal Reserve Regulations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PATRIOT Act</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OFAC</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Representations as to Foreign Loan Parties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87</w:t>
            </w:r>
          </w:p>
        </w:tc>
      </w:tr>
      <w:tr>
        <w:trPr>
          <w:trHeight w:val="500"/>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ARTICLE IV</w:t>
            </w:r>
          </w:p>
        </w:tc>
        <w:tc>
          <w:tcPr>
            <w:tcW w:w="1960" w:type="dxa"/>
            <w:vAlign w:val="bottom"/>
          </w:tcPr>
          <w:p>
            <w:pPr>
              <w:spacing w:after="0"/>
              <w:rPr>
                <w:sz w:val="24"/>
                <w:szCs w:val="24"/>
                <w:color w:val="auto"/>
              </w:rPr>
            </w:pPr>
          </w:p>
        </w:tc>
      </w:tr>
      <w:tr>
        <w:trPr>
          <w:trHeight w:val="365"/>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rPr>
              <w:t>CONDITIONS</w:t>
            </w:r>
          </w:p>
        </w:tc>
        <w:tc>
          <w:tcPr>
            <w:tcW w:w="1960" w:type="dxa"/>
            <w:vAlign w:val="bottom"/>
          </w:tcPr>
          <w:p>
            <w:pPr>
              <w:spacing w:after="0"/>
              <w:rPr>
                <w:sz w:val="24"/>
                <w:szCs w:val="24"/>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Initial Credit Events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Subsequent Credit Events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89</w:t>
            </w:r>
          </w:p>
        </w:tc>
      </w:tr>
      <w:tr>
        <w:trPr>
          <w:trHeight w:val="405"/>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rPr>
              <w:t>ARTICLE V</w:t>
            </w:r>
          </w:p>
        </w:tc>
        <w:tc>
          <w:tcPr>
            <w:tcW w:w="1960" w:type="dxa"/>
            <w:vAlign w:val="bottom"/>
          </w:tcPr>
          <w:p>
            <w:pPr>
              <w:spacing w:after="0"/>
              <w:rPr>
                <w:sz w:val="24"/>
                <w:szCs w:val="24"/>
                <w:color w:val="auto"/>
              </w:rPr>
            </w:pPr>
          </w:p>
        </w:tc>
      </w:tr>
      <w:tr>
        <w:trPr>
          <w:trHeight w:val="270"/>
        </w:trPr>
        <w:tc>
          <w:tcPr>
            <w:tcW w:w="1380" w:type="dxa"/>
            <w:vAlign w:val="bottom"/>
          </w:tcPr>
          <w:p>
            <w:pPr>
              <w:spacing w:after="0"/>
              <w:rPr>
                <w:sz w:val="23"/>
                <w:szCs w:val="23"/>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AFFIRMATIVE COVENANTS</w:t>
            </w:r>
          </w:p>
        </w:tc>
        <w:tc>
          <w:tcPr>
            <w:tcW w:w="1960" w:type="dxa"/>
            <w:vAlign w:val="bottom"/>
          </w:tcPr>
          <w:p>
            <w:pPr>
              <w:spacing w:after="0"/>
              <w:rPr>
                <w:sz w:val="23"/>
                <w:szCs w:val="23"/>
                <w:color w:val="auto"/>
              </w:rPr>
            </w:pP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Statements and Other Information</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Notices of Material Events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Existence; Conduct of Business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 of Obligations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Maintenance of Properties; Insurance</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Inspection Rights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Compliance with Laws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Use of Proceeds and Letters of Credit</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5.09</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Guarantees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93</w:t>
            </w:r>
          </w:p>
        </w:tc>
      </w:tr>
      <w:tr>
        <w:trPr>
          <w:trHeight w:val="392"/>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ARTICLE VI</w:t>
            </w:r>
          </w:p>
        </w:tc>
        <w:tc>
          <w:tcPr>
            <w:tcW w:w="1960" w:type="dxa"/>
            <w:vAlign w:val="bottom"/>
          </w:tcPr>
          <w:p>
            <w:pPr>
              <w:spacing w:after="0"/>
              <w:rPr>
                <w:sz w:val="24"/>
                <w:szCs w:val="24"/>
                <w:color w:val="auto"/>
              </w:rPr>
            </w:pPr>
          </w:p>
        </w:tc>
      </w:tr>
      <w:tr>
        <w:trPr>
          <w:trHeight w:val="365"/>
        </w:trPr>
        <w:tc>
          <w:tcPr>
            <w:tcW w:w="1380" w:type="dxa"/>
            <w:vAlign w:val="bottom"/>
          </w:tcPr>
          <w:p>
            <w:pPr>
              <w:spacing w:after="0"/>
              <w:rPr>
                <w:sz w:val="24"/>
                <w:szCs w:val="24"/>
                <w:color w:val="auto"/>
              </w:rPr>
            </w:pPr>
          </w:p>
        </w:tc>
        <w:tc>
          <w:tcPr>
            <w:tcW w:w="7740" w:type="dxa"/>
            <w:vAlign w:val="bottom"/>
          </w:tcPr>
          <w:p>
            <w:pPr>
              <w:jc w:val="center"/>
              <w:ind w:left="2159"/>
              <w:spacing w:after="0"/>
              <w:rPr>
                <w:sz w:val="20"/>
                <w:szCs w:val="20"/>
                <w:color w:val="auto"/>
              </w:rPr>
            </w:pPr>
            <w:r>
              <w:rPr>
                <w:rFonts w:ascii="Times New Roman" w:cs="Times New Roman" w:eastAsia="Times New Roman" w:hAnsi="Times New Roman"/>
                <w:sz w:val="16"/>
                <w:szCs w:val="16"/>
                <w:color w:val="auto"/>
              </w:rPr>
              <w:t>NEGATIVE COVENANTS</w:t>
            </w:r>
          </w:p>
        </w:tc>
        <w:tc>
          <w:tcPr>
            <w:tcW w:w="1960" w:type="dxa"/>
            <w:vAlign w:val="bottom"/>
          </w:tcPr>
          <w:p>
            <w:pPr>
              <w:spacing w:after="0"/>
              <w:rPr>
                <w:sz w:val="24"/>
                <w:szCs w:val="24"/>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Indebtedness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Liens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Fundamental Changes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99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Restricted Payments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91"/>
              </w:rPr>
              <w:t>100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Investments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91"/>
              </w:rPr>
              <w:t>100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91"/>
              </w:rPr>
              <w:t>102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Covenant</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91"/>
              </w:rPr>
              <w:t>103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Lines of Business</w:t>
            </w:r>
          </w:p>
        </w:tc>
        <w:tc>
          <w:tcPr>
            <w:tcW w:w="1960" w:type="dxa"/>
            <w:vAlign w:val="bottom"/>
          </w:tcPr>
          <w:p>
            <w:pPr>
              <w:ind w:left="1720"/>
              <w:spacing w:after="0"/>
              <w:rPr>
                <w:sz w:val="20"/>
                <w:szCs w:val="20"/>
                <w:color w:val="auto"/>
              </w:rPr>
            </w:pPr>
            <w:r>
              <w:rPr>
                <w:rFonts w:ascii="Times New Roman" w:cs="Times New Roman" w:eastAsia="Times New Roman" w:hAnsi="Times New Roman"/>
                <w:sz w:val="16"/>
                <w:szCs w:val="16"/>
                <w:color w:val="auto"/>
                <w:w w:val="91"/>
              </w:rPr>
              <w:t>103</w:t>
            </w:r>
          </w:p>
        </w:tc>
      </w:tr>
    </w:tbl>
    <w:p>
      <w:pPr>
        <w:spacing w:after="0" w:line="195"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ARTICLE VII</w:t>
      </w:r>
    </w:p>
    <w:p>
      <w:pPr>
        <w:spacing w:after="0" w:line="86"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EVENTS OF DEFAULT</w:t>
      </w:r>
    </w:p>
    <w:p>
      <w:pPr>
        <w:sectPr>
          <w:pgSz w:w="11900" w:h="16838" w:orient="portrait"/>
          <w:cols w:equalWidth="0" w:num="1">
            <w:col w:w="11080"/>
          </w:cols>
          <w:pgMar w:left="280" w:top="801" w:right="539" w:bottom="1440" w:gutter="0" w:footer="0" w:header="0"/>
        </w:sectPr>
      </w:pPr>
    </w:p>
    <w:p>
      <w:pPr>
        <w:spacing w:after="0" w:line="3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080"/>
          </w:cols>
          <w:pgMar w:left="280" w:top="801" w:right="539" w:bottom="144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ARTICLE VIII</w:t>
            </w:r>
          </w:p>
        </w:tc>
        <w:tc>
          <w:tcPr>
            <w:tcW w:w="1900" w:type="dxa"/>
            <w:vAlign w:val="bottom"/>
          </w:tcPr>
          <w:p>
            <w:pPr>
              <w:spacing w:after="0"/>
              <w:rPr>
                <w:sz w:val="18"/>
                <w:szCs w:val="18"/>
                <w:color w:val="auto"/>
              </w:rPr>
            </w:pPr>
          </w:p>
        </w:tc>
      </w:tr>
      <w:tr>
        <w:trPr>
          <w:trHeight w:val="270"/>
        </w:trPr>
        <w:tc>
          <w:tcPr>
            <w:tcW w:w="14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THE ADMINISTRATIVE AGENT</w:t>
            </w:r>
          </w:p>
        </w:tc>
        <w:tc>
          <w:tcPr>
            <w:tcW w:w="1900" w:type="dxa"/>
            <w:vAlign w:val="bottom"/>
          </w:tcPr>
          <w:p>
            <w:pPr>
              <w:spacing w:after="0"/>
              <w:rPr>
                <w:sz w:val="23"/>
                <w:szCs w:val="23"/>
                <w:color w:val="auto"/>
              </w:rPr>
            </w:pPr>
          </w:p>
        </w:tc>
      </w:tr>
      <w:tr>
        <w:trPr>
          <w:trHeight w:val="513"/>
        </w:trPr>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ARTICLE IX</w:t>
            </w:r>
          </w:p>
        </w:tc>
        <w:tc>
          <w:tcPr>
            <w:tcW w:w="1900" w:type="dxa"/>
            <w:vAlign w:val="bottom"/>
          </w:tcPr>
          <w:p>
            <w:pPr>
              <w:spacing w:after="0"/>
              <w:rPr>
                <w:sz w:val="24"/>
                <w:szCs w:val="24"/>
                <w:color w:val="auto"/>
              </w:rPr>
            </w:pPr>
          </w:p>
        </w:tc>
      </w:tr>
      <w:tr>
        <w:trPr>
          <w:trHeight w:val="270"/>
        </w:trPr>
        <w:tc>
          <w:tcPr>
            <w:tcW w:w="14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MISCELLANEOUS</w:t>
            </w:r>
          </w:p>
        </w:tc>
        <w:tc>
          <w:tcPr>
            <w:tcW w:w="1900" w:type="dxa"/>
            <w:vAlign w:val="bottom"/>
          </w:tcPr>
          <w:p>
            <w:pPr>
              <w:spacing w:after="0"/>
              <w:rPr>
                <w:sz w:val="23"/>
                <w:szCs w:val="23"/>
                <w:color w:val="auto"/>
              </w:rPr>
            </w:pP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9.01</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Notices</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111</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9.02</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Waivers; Amendments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113</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9.03</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Expenses; Indemnity; Damage Waiver</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114</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9.04</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Successors and Assigns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116</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9.05</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Survival</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121</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9.06</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Counterparts; Integration; Effectiveness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121</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9.07</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Severability</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122</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9.08</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Right of Setoff</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122</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9.09</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Governing Law; Jurisdiction; Consent to Service of Process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122</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9.10</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WAIVER OF JURY TRIAL</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123</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9.11</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Headings</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124</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9.12</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Confidentiality</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124</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9.13</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USA PATRIOT Act</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124</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9.14</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Interest Rate Limitation</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125</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9.15</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 Fiduciary Duty</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125</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9.16</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Electronic Execution of Assignments and Certain Other Documents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126</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9.17</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Joint and Several</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126</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9.18</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Enforcement</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126</w:t>
            </w:r>
          </w:p>
        </w:tc>
      </w:tr>
      <w:tr>
        <w:trPr>
          <w:trHeight w:val="513"/>
        </w:trPr>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ARTICLE X</w:t>
            </w:r>
          </w:p>
        </w:tc>
        <w:tc>
          <w:tcPr>
            <w:tcW w:w="1900" w:type="dxa"/>
            <w:vAlign w:val="bottom"/>
          </w:tcPr>
          <w:p>
            <w:pPr>
              <w:spacing w:after="0"/>
              <w:rPr>
                <w:sz w:val="24"/>
                <w:szCs w:val="24"/>
                <w:color w:val="auto"/>
              </w:rPr>
            </w:pPr>
          </w:p>
        </w:tc>
      </w:tr>
      <w:tr>
        <w:trPr>
          <w:trHeight w:val="270"/>
        </w:trPr>
        <w:tc>
          <w:tcPr>
            <w:tcW w:w="14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8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GUARANTEE</w:t>
            </w:r>
          </w:p>
        </w:tc>
        <w:tc>
          <w:tcPr>
            <w:tcW w:w="1900" w:type="dxa"/>
            <w:vAlign w:val="bottom"/>
          </w:tcPr>
          <w:p>
            <w:pPr>
              <w:spacing w:after="0"/>
              <w:rPr>
                <w:sz w:val="23"/>
                <w:szCs w:val="23"/>
                <w:color w:val="auto"/>
              </w:rPr>
            </w:pP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10.01</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Guarantee</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127</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10.02</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Right of Contribution</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127</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10.03</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 Subrogation</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128</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10.04</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Amendments, etc., with Respect to the Obligations</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128</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10.05</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Guarantee Absolute and Unconditional</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128</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10.06</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Reinstatement</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129</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10.07</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Obligations Independent</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130</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10.08</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Payments</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130</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10.09</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Subordination</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130</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10.10</w:t>
            </w: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Stay of Acceleration</w:t>
            </w:r>
          </w:p>
        </w:tc>
        <w:tc>
          <w:tcPr>
            <w:tcW w:w="5820" w:type="dxa"/>
            <w:vAlign w:val="bottom"/>
          </w:tcPr>
          <w:p>
            <w:pPr>
              <w:spacing w:after="0"/>
              <w:rPr>
                <w:sz w:val="23"/>
                <w:szCs w:val="23"/>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131</w:t>
            </w:r>
          </w:p>
        </w:tc>
      </w:tr>
      <w:tr>
        <w:trPr>
          <w:trHeight w:val="27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10.11</w:t>
            </w:r>
          </w:p>
        </w:tc>
        <w:tc>
          <w:tcPr>
            <w:tcW w:w="77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Condition of Borrower</w:t>
            </w:r>
          </w:p>
        </w:tc>
        <w:tc>
          <w:tcPr>
            <w:tcW w:w="1900" w:type="dxa"/>
            <w:vAlign w:val="bottom"/>
          </w:tcPr>
          <w:p>
            <w:pPr>
              <w:ind w:left="1660"/>
              <w:spacing w:after="0"/>
              <w:rPr>
                <w:sz w:val="20"/>
                <w:szCs w:val="20"/>
                <w:color w:val="auto"/>
              </w:rPr>
            </w:pPr>
            <w:r>
              <w:rPr>
                <w:rFonts w:ascii="Times New Roman" w:cs="Times New Roman" w:eastAsia="Times New Roman" w:hAnsi="Times New Roman"/>
                <w:sz w:val="16"/>
                <w:szCs w:val="16"/>
                <w:color w:val="auto"/>
                <w:w w:val="91"/>
              </w:rPr>
              <w:t>131</w:t>
            </w:r>
          </w:p>
        </w:tc>
      </w:tr>
      <w:tr>
        <w:trPr>
          <w:trHeight w:val="500"/>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SCHEDULES:</w:t>
            </w:r>
          </w:p>
        </w:tc>
        <w:tc>
          <w:tcPr>
            <w:tcW w:w="19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54"/>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2.01</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w:t>
            </w:r>
          </w:p>
        </w:tc>
        <w:tc>
          <w:tcPr>
            <w:tcW w:w="1900" w:type="dxa"/>
            <w:vAlign w:val="bottom"/>
          </w:tcPr>
          <w:p>
            <w:pPr>
              <w:spacing w:after="0"/>
              <w:rPr>
                <w:sz w:val="24"/>
                <w:szCs w:val="24"/>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2.03</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Specified Litigation</w:t>
            </w:r>
          </w:p>
        </w:tc>
        <w:tc>
          <w:tcPr>
            <w:tcW w:w="190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2.05</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Existing Letters of Credit</w:t>
            </w:r>
          </w:p>
        </w:tc>
        <w:tc>
          <w:tcPr>
            <w:tcW w:w="190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3.01</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190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3.06</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Disclosed Matters</w:t>
            </w:r>
          </w:p>
        </w:tc>
        <w:tc>
          <w:tcPr>
            <w:tcW w:w="190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Schedule 6.01</w:t>
            </w:r>
          </w:p>
        </w:tc>
        <w:tc>
          <w:tcPr>
            <w:tcW w:w="19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Existing Indebtedness</w:t>
            </w:r>
          </w:p>
        </w:tc>
        <w:tc>
          <w:tcPr>
            <w:tcW w:w="19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100"/>
          </w:cols>
          <w:pgMar w:left="260" w:top="801" w:right="539" w:bottom="1440" w:gutter="0" w:footer="0" w:header="0"/>
        </w:sectPr>
      </w:pPr>
    </w:p>
    <w:p>
      <w:pPr>
        <w:spacing w:after="0" w:line="1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00"/>
          </w:cols>
          <w:pgMar w:left="260" w:top="801" w:right="5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6.02</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Existing Liens</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6.04</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Payments</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6.05 (e)</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6.06</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Affiliate Transactions</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9.01</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Notices</w:t>
            </w: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EXHIBITS:</w:t>
            </w:r>
          </w:p>
        </w:tc>
        <w:tc>
          <w:tcPr>
            <w:tcW w:w="128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66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Assignment and Assumption</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B</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Revolving Note</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C</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Borrowing Request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D</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Swingline Loan Notice</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E</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Compliance Certificate</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F-1</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U.S. Tax Certificate (For Foreign Lenders That Are Not</w:t>
            </w:r>
          </w:p>
        </w:tc>
      </w:tr>
      <w:tr>
        <w:trPr>
          <w:trHeight w:val="210"/>
        </w:trPr>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Partnerships For U.S. Federal Income Tax Purposes)</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F-2</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U.S. Tax Certificate (For Foreign Lenders That Are</w:t>
            </w:r>
          </w:p>
        </w:tc>
      </w:tr>
      <w:tr>
        <w:trPr>
          <w:trHeight w:val="210"/>
        </w:trPr>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Partnerships For U.S. Federal Income Tax Purposes)</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F-3</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U.S. Tax Certificate (For Non-U.S. Participants That Are</w:t>
            </w:r>
          </w:p>
        </w:tc>
      </w:tr>
      <w:tr>
        <w:trPr>
          <w:trHeight w:val="210"/>
        </w:trPr>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 Partnerships For U.S. Federal Income Tax Purposes)</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F-4</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U.S. Tax Certificate (For Non-U.S. Participants That Are</w:t>
            </w:r>
          </w:p>
        </w:tc>
      </w:tr>
      <w:tr>
        <w:trPr>
          <w:trHeight w:val="210"/>
        </w:trPr>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Partnerships For U.S. Federal Income Tax Purposes)</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G</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Designated Borrower Request and Assumption Agreement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H</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Designated Borrower Notice</w:t>
            </w: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I</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Designated Borrower/Successor Borrower Joinder</w:t>
            </w:r>
          </w:p>
        </w:tc>
      </w:tr>
      <w:tr>
        <w:trPr>
          <w:trHeight w:val="210"/>
        </w:trPr>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Agreement</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Exhibit J</w:t>
            </w:r>
          </w:p>
        </w:tc>
        <w:tc>
          <w:tcPr>
            <w:tcW w:w="128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4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Form of Guarantor Joinder Agreement</w:t>
            </w:r>
          </w:p>
        </w:tc>
      </w:tr>
      <w:tr>
        <w:trPr>
          <w:trHeight w:val="653"/>
        </w:trPr>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540" w:type="dxa"/>
            <w:vAlign w:val="bottom"/>
          </w:tcPr>
          <w:p>
            <w:pPr>
              <w:ind w:left="2400"/>
              <w:spacing w:after="0"/>
              <w:rPr>
                <w:sz w:val="20"/>
                <w:szCs w:val="20"/>
                <w:color w:val="auto"/>
              </w:rPr>
            </w:pPr>
            <w:r>
              <w:rPr>
                <w:rFonts w:ascii="Times New Roman" w:cs="Times New Roman" w:eastAsia="Times New Roman" w:hAnsi="Times New Roman"/>
                <w:sz w:val="22"/>
                <w:szCs w:val="22"/>
                <w:color w:val="auto"/>
              </w:rPr>
              <w:t>-iv-</w:t>
            </w:r>
          </w:p>
        </w:tc>
      </w:tr>
    </w:tbl>
    <w:p>
      <w:pPr>
        <w:sectPr>
          <w:pgSz w:w="11900" w:h="16838" w:orient="portrait"/>
          <w:cols w:equalWidth="0" w:num="1">
            <w:col w:w="10199"/>
          </w:cols>
          <w:pgMar w:left="260" w:top="787" w:right="1440"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REVOLVING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19, 2014 among MYLAN INC., a Pennsylvania corporation (“</w:t>
      </w:r>
      <w:r>
        <w:rPr>
          <w:rFonts w:ascii="Times New Roman" w:cs="Times New Roman" w:eastAsia="Times New Roman" w:hAnsi="Times New Roman"/>
          <w:sz w:val="18"/>
          <w:szCs w:val="18"/>
          <w:u w:val="single" w:color="auto"/>
          <w:color w:val="auto"/>
        </w:rPr>
        <w:t>Mylan</w:t>
      </w:r>
      <w:r>
        <w:rPr>
          <w:rFonts w:ascii="Times New Roman" w:cs="Times New Roman" w:eastAsia="Times New Roman" w:hAnsi="Times New Roman"/>
          <w:sz w:val="18"/>
          <w:szCs w:val="18"/>
          <w:color w:val="auto"/>
        </w:rPr>
        <w:t>”), certain Affiliates and Subsidiaries of Mylan from time to time party hereto as a Designated Borrower, Successor Borrower or Guarantor, each Lender and Issuing Bank from time to time party hereto, and BANK OF AMERICA, N.A., as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agree to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Abbott Labs</w:t>
      </w:r>
      <w:r>
        <w:rPr>
          <w:rFonts w:ascii="Times New Roman" w:cs="Times New Roman" w:eastAsia="Times New Roman" w:hAnsi="Times New Roman"/>
          <w:sz w:val="18"/>
          <w:szCs w:val="18"/>
          <w:color w:val="auto"/>
        </w:rPr>
        <w:t>” means Abbott Laboratories, an Illinois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means each Person, property, business or assets acquired by the Company or a Subsidiary, to the extent not subsequently sold, transferred or otherwise disposed of by the Company or such Subsidiary.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Indebtedness</w:t>
      </w:r>
      <w:r>
        <w:rPr>
          <w:rFonts w:ascii="Times New Roman" w:cs="Times New Roman" w:eastAsia="Times New Roman" w:hAnsi="Times New Roman"/>
          <w:sz w:val="18"/>
          <w:szCs w:val="18"/>
          <w:color w:val="auto"/>
        </w:rPr>
        <w:t>” means any Indebtedness of the Loan Parties that has been issued for the purpose of financing, in part, the acquisition of an Acquired Entity or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assigned in Section 9.13.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for the Lenders hereunder, or any successor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Company and the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assigned in Section 9.01(c).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in the preamble hereto.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617" w:right="2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Currencies</w:t>
      </w:r>
      <w:r>
        <w:rPr>
          <w:rFonts w:ascii="Times New Roman" w:cs="Times New Roman" w:eastAsia="Times New Roman" w:hAnsi="Times New Roman"/>
          <w:sz w:val="18"/>
          <w:szCs w:val="18"/>
          <w:color w:val="auto"/>
        </w:rPr>
        <w:t>” means (a) Euro, (b) Sterling, (c) Yen and (d) each other currency (other than Dollars) approved in accordance with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at any time, a percentage 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00000A"/>
              <w:left w:val="single" w:sz="8" w:color="00000A"/>
              <w:right w:val="single" w:sz="8" w:color="00000A"/>
            </w:tcBorders>
          </w:tcPr>
          <w:p>
            <w:pPr>
              <w:spacing w:after="0"/>
              <w:rPr>
                <w:sz w:val="20"/>
                <w:szCs w:val="20"/>
                <w:color w:val="auto"/>
              </w:rPr>
            </w:pPr>
          </w:p>
        </w:tc>
        <w:tc>
          <w:tcPr>
            <w:tcW w:w="500" w:type="dxa"/>
            <w:vAlign w:val="bottom"/>
            <w:tcBorders>
              <w:top w:val="single" w:sz="8" w:color="00000A"/>
            </w:tcBorders>
          </w:tcPr>
          <w:p>
            <w:pPr>
              <w:spacing w:after="0"/>
              <w:rPr>
                <w:sz w:val="20"/>
                <w:szCs w:val="20"/>
                <w:color w:val="auto"/>
              </w:rPr>
            </w:pPr>
          </w:p>
        </w:tc>
        <w:tc>
          <w:tcPr>
            <w:tcW w:w="60" w:type="dxa"/>
            <w:vAlign w:val="bottom"/>
            <w:tcBorders>
              <w:top w:val="single" w:sz="8" w:color="00000A"/>
            </w:tcBorders>
          </w:tcPr>
          <w:p>
            <w:pPr>
              <w:spacing w:after="0"/>
              <w:rPr>
                <w:sz w:val="20"/>
                <w:szCs w:val="20"/>
                <w:color w:val="auto"/>
              </w:rPr>
            </w:pPr>
          </w:p>
        </w:tc>
        <w:tc>
          <w:tcPr>
            <w:tcW w:w="40" w:type="dxa"/>
            <w:vAlign w:val="bottom"/>
            <w:tcBorders>
              <w:top w:val="single" w:sz="8" w:color="00000A"/>
            </w:tcBorders>
          </w:tcPr>
          <w:p>
            <w:pPr>
              <w:spacing w:after="0"/>
              <w:rPr>
                <w:sz w:val="20"/>
                <w:szCs w:val="20"/>
                <w:color w:val="auto"/>
              </w:rPr>
            </w:pPr>
          </w:p>
        </w:tc>
        <w:tc>
          <w:tcPr>
            <w:tcW w:w="60" w:type="dxa"/>
            <w:vAlign w:val="bottom"/>
            <w:tcBorders>
              <w:top w:val="single" w:sz="8" w:color="00000A"/>
            </w:tcBorders>
          </w:tcPr>
          <w:p>
            <w:pPr>
              <w:spacing w:after="0"/>
              <w:rPr>
                <w:sz w:val="20"/>
                <w:szCs w:val="20"/>
                <w:color w:val="auto"/>
              </w:rPr>
            </w:pPr>
          </w:p>
        </w:tc>
        <w:tc>
          <w:tcPr>
            <w:tcW w:w="1180" w:type="dxa"/>
            <w:vAlign w:val="bottom"/>
            <w:tcBorders>
              <w:top w:val="single" w:sz="8" w:color="00000A"/>
              <w:right w:val="single" w:sz="8" w:color="00000A"/>
            </w:tcBorders>
          </w:tcPr>
          <w:p>
            <w:pPr>
              <w:spacing w:after="0"/>
              <w:rPr>
                <w:sz w:val="20"/>
                <w:szCs w:val="20"/>
                <w:color w:val="auto"/>
              </w:rPr>
            </w:pPr>
          </w:p>
        </w:tc>
        <w:tc>
          <w:tcPr>
            <w:tcW w:w="1260" w:type="dxa"/>
            <w:vAlign w:val="bottom"/>
            <w:tcBorders>
              <w:top w:val="single" w:sz="8" w:color="00000A"/>
              <w:right w:val="single" w:sz="8" w:color="00000A"/>
            </w:tcBorders>
          </w:tcPr>
          <w:p>
            <w:pPr>
              <w:spacing w:after="0"/>
              <w:rPr>
                <w:sz w:val="20"/>
                <w:szCs w:val="20"/>
                <w:color w:val="auto"/>
              </w:rPr>
            </w:pPr>
          </w:p>
        </w:tc>
        <w:tc>
          <w:tcPr>
            <w:tcW w:w="4220" w:type="dxa"/>
            <w:vAlign w:val="bottom"/>
            <w:tcBorders>
              <w:top w:val="single" w:sz="8" w:color="00000A"/>
              <w:right w:val="single" w:sz="8" w:color="00000A"/>
            </w:tcBorders>
          </w:tcPr>
          <w:p>
            <w:pPr>
              <w:spacing w:after="0"/>
              <w:rPr>
                <w:sz w:val="20"/>
                <w:szCs w:val="20"/>
                <w:color w:val="auto"/>
              </w:rPr>
            </w:pPr>
          </w:p>
        </w:tc>
        <w:tc>
          <w:tcPr>
            <w:tcW w:w="2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 for</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Base Rate</w:t>
            </w:r>
          </w:p>
        </w:tc>
      </w:tr>
      <w:tr>
        <w:trPr>
          <w:trHeight w:val="216"/>
        </w:trPr>
        <w:tc>
          <w:tcPr>
            <w:tcW w:w="1280" w:type="dxa"/>
            <w:vAlign w:val="bottom"/>
            <w:tcBorders>
              <w:left w:val="single" w:sz="8" w:color="00000A"/>
              <w:right w:val="single" w:sz="8" w:color="00000A"/>
            </w:tcBorders>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right w:val="single" w:sz="8" w:color="00000A"/>
            </w:tcBorders>
          </w:tcPr>
          <w:p>
            <w:pPr>
              <w:spacing w:after="0"/>
              <w:rPr>
                <w:sz w:val="18"/>
                <w:szCs w:val="18"/>
                <w:color w:val="auto"/>
              </w:rPr>
            </w:pPr>
          </w:p>
        </w:tc>
        <w:tc>
          <w:tcPr>
            <w:tcW w:w="1260" w:type="dxa"/>
            <w:vAlign w:val="bottom"/>
            <w:tcBorders>
              <w:right w:val="single" w:sz="8" w:color="00000A"/>
            </w:tcBorders>
          </w:tcPr>
          <w:p>
            <w:pPr>
              <w:spacing w:after="0"/>
              <w:rPr>
                <w:sz w:val="18"/>
                <w:szCs w:val="18"/>
                <w:color w:val="auto"/>
              </w:rPr>
            </w:pP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Eurocurrency Revolving Loans</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Revolving Loans and</w:t>
            </w:r>
          </w:p>
        </w:tc>
      </w:tr>
      <w:tr>
        <w:trPr>
          <w:trHeight w:val="238"/>
        </w:trPr>
        <w:tc>
          <w:tcPr>
            <w:tcW w:w="12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Pricing Level</w:t>
            </w:r>
          </w:p>
        </w:tc>
        <w:tc>
          <w:tcPr>
            <w:tcW w:w="1840" w:type="dxa"/>
            <w:vAlign w:val="bottom"/>
            <w:tcBorders>
              <w:right w:val="single" w:sz="8" w:color="00000A"/>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Debt Rating</w:t>
            </w:r>
          </w:p>
        </w:tc>
        <w:tc>
          <w:tcPr>
            <w:tcW w:w="12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Facility Fee</w:t>
            </w: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Letter of Credit Fees</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Swingline Loans</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right w:val="single" w:sz="8" w:color="00000A"/>
            </w:tcBorders>
            <w:gridSpan w:val="3"/>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9"/>
              </w:rPr>
              <w:t>&gt; BBB+ /</w:t>
            </w:r>
          </w:p>
        </w:tc>
        <w:tc>
          <w:tcPr>
            <w:tcW w:w="12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0.125%</w:t>
            </w:r>
          </w:p>
        </w:tc>
        <w:tc>
          <w:tcPr>
            <w:tcW w:w="42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1.000%</w:t>
            </w:r>
          </w:p>
        </w:tc>
        <w:tc>
          <w:tcPr>
            <w:tcW w:w="284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0.000%</w:t>
            </w:r>
          </w:p>
        </w:tc>
      </w:tr>
      <w:tr>
        <w:trPr>
          <w:trHeight w:val="237"/>
        </w:trPr>
        <w:tc>
          <w:tcPr>
            <w:tcW w:w="1280" w:type="dxa"/>
            <w:vAlign w:val="bottom"/>
            <w:tcBorders>
              <w:left w:val="single" w:sz="8" w:color="00000A"/>
              <w:right w:val="single" w:sz="8" w:color="00000A"/>
            </w:tcBorders>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80" w:type="dxa"/>
            <w:vAlign w:val="bottom"/>
            <w:tcBorders>
              <w:right w:val="single" w:sz="8" w:color="00000A"/>
            </w:tcBorders>
          </w:tcPr>
          <w:p>
            <w:pPr>
              <w:jc w:val="center"/>
              <w:ind w:right="590"/>
              <w:spacing w:after="0"/>
              <w:rPr>
                <w:sz w:val="20"/>
                <w:szCs w:val="20"/>
                <w:color w:val="auto"/>
              </w:rPr>
            </w:pPr>
            <w:r>
              <w:rPr>
                <w:rFonts w:ascii="Times New Roman" w:cs="Times New Roman" w:eastAsia="Times New Roman" w:hAnsi="Times New Roman"/>
                <w:sz w:val="18"/>
                <w:szCs w:val="18"/>
                <w:color w:val="auto"/>
              </w:rPr>
              <w:t>Baa1</w:t>
            </w:r>
          </w:p>
        </w:tc>
        <w:tc>
          <w:tcPr>
            <w:tcW w:w="1260" w:type="dxa"/>
            <w:vAlign w:val="bottom"/>
            <w:tcBorders>
              <w:right w:val="single" w:sz="8" w:color="00000A"/>
            </w:tcBorders>
          </w:tcPr>
          <w:p>
            <w:pPr>
              <w:spacing w:after="0"/>
              <w:rPr>
                <w:sz w:val="20"/>
                <w:szCs w:val="20"/>
                <w:color w:val="auto"/>
              </w:rPr>
            </w:pPr>
          </w:p>
        </w:tc>
        <w:tc>
          <w:tcPr>
            <w:tcW w:w="4220" w:type="dxa"/>
            <w:vAlign w:val="bottom"/>
            <w:tcBorders>
              <w:right w:val="single" w:sz="8" w:color="00000A"/>
            </w:tcBorders>
          </w:tcPr>
          <w:p>
            <w:pPr>
              <w:spacing w:after="0"/>
              <w:rPr>
                <w:sz w:val="20"/>
                <w:szCs w:val="20"/>
                <w:color w:val="auto"/>
              </w:rPr>
            </w:pPr>
          </w:p>
        </w:tc>
        <w:tc>
          <w:tcPr>
            <w:tcW w:w="2840" w:type="dxa"/>
            <w:vAlign w:val="bottom"/>
            <w:tcBorders>
              <w:right w:val="single" w:sz="8" w:color="00000A"/>
            </w:tcBorders>
          </w:tcPr>
          <w:p>
            <w:pPr>
              <w:spacing w:after="0"/>
              <w:rPr>
                <w:sz w:val="20"/>
                <w:szCs w:val="20"/>
                <w:color w:val="auto"/>
              </w:rPr>
            </w:pP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840" w:type="dxa"/>
            <w:vAlign w:val="bottom"/>
            <w:tcBorders>
              <w:right w:val="single" w:sz="8" w:color="00000A"/>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BBB / Baa2</w:t>
            </w:r>
          </w:p>
        </w:tc>
        <w:tc>
          <w:tcPr>
            <w:tcW w:w="12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0.150%</w:t>
            </w: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0.100%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40" w:type="dxa"/>
            <w:vAlign w:val="bottom"/>
            <w:tcBorders>
              <w:right w:val="single" w:sz="8" w:color="00000A"/>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BBB- / Baa3</w:t>
            </w:r>
          </w:p>
        </w:tc>
        <w:tc>
          <w:tcPr>
            <w:tcW w:w="12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0.175%</w:t>
            </w: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1.325%</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0.325%</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r>
        <w:trPr>
          <w:trHeight w:val="237"/>
        </w:trPr>
        <w:tc>
          <w:tcPr>
            <w:tcW w:w="12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500" w:type="dxa"/>
            <w:vAlign w:val="bottom"/>
          </w:tcPr>
          <w:p>
            <w:pPr>
              <w:spacing w:after="0"/>
              <w:rPr>
                <w:sz w:val="20"/>
                <w:szCs w:val="20"/>
                <w:color w:val="auto"/>
              </w:rPr>
            </w:pPr>
          </w:p>
        </w:tc>
        <w:tc>
          <w:tcPr>
            <w:tcW w:w="1340" w:type="dxa"/>
            <w:vAlign w:val="bottom"/>
            <w:tcBorders>
              <w:right w:val="single" w:sz="8" w:color="00000A"/>
            </w:tcBorders>
            <w:gridSpan w:val="4"/>
          </w:tcPr>
          <w:p>
            <w:pPr>
              <w:jc w:val="center"/>
              <w:ind w:right="430"/>
              <w:spacing w:after="0"/>
              <w:rPr>
                <w:sz w:val="20"/>
                <w:szCs w:val="20"/>
                <w:color w:val="auto"/>
              </w:rPr>
            </w:pPr>
            <w:r>
              <w:rPr>
                <w:rFonts w:ascii="Times New Roman" w:cs="Times New Roman" w:eastAsia="Times New Roman" w:hAnsi="Times New Roman"/>
                <w:sz w:val="18"/>
                <w:szCs w:val="18"/>
                <w:color w:val="auto"/>
              </w:rPr>
              <w:t>BB+ / Ba1</w:t>
            </w:r>
          </w:p>
        </w:tc>
        <w:tc>
          <w:tcPr>
            <w:tcW w:w="12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4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1.750%</w:t>
            </w:r>
          </w:p>
        </w:tc>
        <w:tc>
          <w:tcPr>
            <w:tcW w:w="2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0.750%</w:t>
            </w:r>
          </w:p>
        </w:tc>
      </w:tr>
      <w:tr>
        <w:trPr>
          <w:trHeight w:val="27"/>
        </w:trPr>
        <w:tc>
          <w:tcPr>
            <w:tcW w:w="1280" w:type="dxa"/>
            <w:vAlign w:val="bottom"/>
            <w:tcBorders>
              <w:left w:val="single" w:sz="8" w:color="00000A"/>
              <w:bottom w:val="single" w:sz="8" w:color="00000A"/>
              <w:right w:val="single" w:sz="8" w:color="00000A"/>
            </w:tcBorders>
          </w:tcPr>
          <w:p>
            <w:pPr>
              <w:spacing w:after="0"/>
              <w:rPr>
                <w:sz w:val="2"/>
                <w:szCs w:val="2"/>
                <w:color w:val="auto"/>
              </w:rPr>
            </w:pPr>
          </w:p>
        </w:tc>
        <w:tc>
          <w:tcPr>
            <w:tcW w:w="50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60" w:type="dxa"/>
            <w:vAlign w:val="bottom"/>
            <w:tcBorders>
              <w:bottom w:val="single" w:sz="8" w:color="00000A"/>
            </w:tcBorders>
          </w:tcPr>
          <w:p>
            <w:pPr>
              <w:spacing w:after="0"/>
              <w:rPr>
                <w:sz w:val="2"/>
                <w:szCs w:val="2"/>
                <w:color w:val="auto"/>
              </w:rPr>
            </w:pPr>
          </w:p>
        </w:tc>
        <w:tc>
          <w:tcPr>
            <w:tcW w:w="1180" w:type="dxa"/>
            <w:vAlign w:val="bottom"/>
            <w:tcBorders>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tcPr>
          <w:p>
            <w:pPr>
              <w:spacing w:after="0"/>
              <w:rPr>
                <w:sz w:val="2"/>
                <w:szCs w:val="2"/>
                <w:color w:val="auto"/>
              </w:rPr>
            </w:pPr>
          </w:p>
        </w:tc>
        <w:tc>
          <w:tcPr>
            <w:tcW w:w="2840" w:type="dxa"/>
            <w:vAlign w:val="bottom"/>
            <w:tcBorders>
              <w:bottom w:val="single" w:sz="8" w:color="00000A"/>
              <w:right w:val="single" w:sz="8" w:color="00000A"/>
            </w:tcBorders>
          </w:tcPr>
          <w:p>
            <w:pPr>
              <w:spacing w:after="0"/>
              <w:rPr>
                <w:sz w:val="2"/>
                <w:szCs w:val="2"/>
                <w:color w:val="auto"/>
              </w:rPr>
            </w:pPr>
          </w:p>
        </w:tc>
      </w:tr>
      <w:tr>
        <w:trPr>
          <w:trHeight w:val="196"/>
        </w:trPr>
        <w:tc>
          <w:tcPr>
            <w:tcW w:w="128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1840" w:type="dxa"/>
            <w:vAlign w:val="bottom"/>
            <w:tcBorders>
              <w:right w:val="single" w:sz="8" w:color="00000A"/>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rPr>
              <w:t>&lt; BB / Ba2</w:t>
            </w:r>
          </w:p>
        </w:tc>
        <w:tc>
          <w:tcPr>
            <w:tcW w:w="126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0.300%</w:t>
            </w:r>
          </w:p>
        </w:tc>
        <w:tc>
          <w:tcPr>
            <w:tcW w:w="42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1.925%</w:t>
            </w:r>
          </w:p>
        </w:tc>
        <w:tc>
          <w:tcPr>
            <w:tcW w:w="284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0.925%</w:t>
            </w:r>
          </w:p>
        </w:tc>
      </w:tr>
      <w:tr>
        <w:trPr>
          <w:trHeight w:val="48"/>
        </w:trPr>
        <w:tc>
          <w:tcPr>
            <w:tcW w:w="1280" w:type="dxa"/>
            <w:vAlign w:val="bottom"/>
            <w:tcBorders>
              <w:left w:val="single" w:sz="8" w:color="00000A"/>
              <w:bottom w:val="single" w:sz="8" w:color="00000A"/>
              <w:right w:val="single" w:sz="8" w:color="00000A"/>
            </w:tcBorders>
          </w:tcPr>
          <w:p>
            <w:pPr>
              <w:spacing w:after="0"/>
              <w:rPr>
                <w:sz w:val="4"/>
                <w:szCs w:val="4"/>
                <w:color w:val="auto"/>
              </w:rPr>
            </w:pPr>
          </w:p>
        </w:tc>
        <w:tc>
          <w:tcPr>
            <w:tcW w:w="500" w:type="dxa"/>
            <w:vAlign w:val="bottom"/>
            <w:tcBorders>
              <w:bottom w:val="single" w:sz="8" w:color="00000A"/>
            </w:tcBorders>
          </w:tcPr>
          <w:p>
            <w:pPr>
              <w:spacing w:after="0"/>
              <w:rPr>
                <w:sz w:val="4"/>
                <w:szCs w:val="4"/>
                <w:color w:val="auto"/>
              </w:rPr>
            </w:pPr>
          </w:p>
        </w:tc>
        <w:tc>
          <w:tcPr>
            <w:tcW w:w="60" w:type="dxa"/>
            <w:vAlign w:val="bottom"/>
            <w:tcBorders>
              <w:top w:val="single" w:sz="8" w:color="auto"/>
              <w:bottom w:val="single" w:sz="8" w:color="00000A"/>
            </w:tcBorders>
          </w:tcPr>
          <w:p>
            <w:pPr>
              <w:spacing w:after="0"/>
              <w:rPr>
                <w:sz w:val="4"/>
                <w:szCs w:val="4"/>
                <w:color w:val="auto"/>
              </w:rPr>
            </w:pPr>
          </w:p>
        </w:tc>
        <w:tc>
          <w:tcPr>
            <w:tcW w:w="40" w:type="dxa"/>
            <w:vAlign w:val="bottom"/>
            <w:tcBorders>
              <w:top w:val="single" w:sz="8" w:color="auto"/>
              <w:bottom w:val="single" w:sz="8" w:color="00000A"/>
            </w:tcBorders>
          </w:tcPr>
          <w:p>
            <w:pPr>
              <w:spacing w:after="0"/>
              <w:rPr>
                <w:sz w:val="4"/>
                <w:szCs w:val="4"/>
                <w:color w:val="auto"/>
              </w:rPr>
            </w:pPr>
          </w:p>
        </w:tc>
        <w:tc>
          <w:tcPr>
            <w:tcW w:w="60" w:type="dxa"/>
            <w:vAlign w:val="bottom"/>
            <w:tcBorders>
              <w:bottom w:val="single" w:sz="8" w:color="00000A"/>
            </w:tcBorders>
          </w:tcPr>
          <w:p>
            <w:pPr>
              <w:spacing w:after="0"/>
              <w:rPr>
                <w:sz w:val="4"/>
                <w:szCs w:val="4"/>
                <w:color w:val="auto"/>
              </w:rPr>
            </w:pPr>
          </w:p>
        </w:tc>
        <w:tc>
          <w:tcPr>
            <w:tcW w:w="1180" w:type="dxa"/>
            <w:vAlign w:val="bottom"/>
            <w:tcBorders>
              <w:bottom w:val="single" w:sz="8" w:color="00000A"/>
              <w:right w:val="single" w:sz="8" w:color="00000A"/>
            </w:tcBorders>
          </w:tcPr>
          <w:p>
            <w:pPr>
              <w:spacing w:after="0"/>
              <w:rPr>
                <w:sz w:val="4"/>
                <w:szCs w:val="4"/>
                <w:color w:val="auto"/>
              </w:rPr>
            </w:pPr>
          </w:p>
        </w:tc>
        <w:tc>
          <w:tcPr>
            <w:tcW w:w="1260" w:type="dxa"/>
            <w:vAlign w:val="bottom"/>
            <w:tcBorders>
              <w:bottom w:val="single" w:sz="8" w:color="00000A"/>
              <w:right w:val="single" w:sz="8" w:color="00000A"/>
            </w:tcBorders>
          </w:tcPr>
          <w:p>
            <w:pPr>
              <w:spacing w:after="0"/>
              <w:rPr>
                <w:sz w:val="4"/>
                <w:szCs w:val="4"/>
                <w:color w:val="auto"/>
              </w:rPr>
            </w:pPr>
          </w:p>
        </w:tc>
        <w:tc>
          <w:tcPr>
            <w:tcW w:w="4220" w:type="dxa"/>
            <w:vAlign w:val="bottom"/>
            <w:tcBorders>
              <w:bottom w:val="single" w:sz="8" w:color="00000A"/>
              <w:right w:val="single" w:sz="8" w:color="00000A"/>
            </w:tcBorders>
          </w:tcPr>
          <w:p>
            <w:pPr>
              <w:spacing w:after="0"/>
              <w:rPr>
                <w:sz w:val="4"/>
                <w:szCs w:val="4"/>
                <w:color w:val="auto"/>
              </w:rPr>
            </w:pPr>
          </w:p>
        </w:tc>
        <w:tc>
          <w:tcPr>
            <w:tcW w:w="2840" w:type="dxa"/>
            <w:vAlign w:val="bottom"/>
            <w:tcBorders>
              <w:bottom w:val="single" w:sz="8" w:color="00000A"/>
              <w:right w:val="single" w:sz="8" w:color="00000A"/>
            </w:tcBorders>
          </w:tcPr>
          <w:p>
            <w:pPr>
              <w:spacing w:after="0"/>
              <w:rPr>
                <w:sz w:val="4"/>
                <w:szCs w:val="4"/>
                <w:color w:val="auto"/>
              </w:rPr>
            </w:pP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Initially, the Applicable Rate shall be determined based upon Pricing Level 3.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“Cash Equivalents.”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40"/>
          </w:cols>
          <w:pgMar w:left="240" w:top="621" w:right="219" w:bottom="1440" w:gutter="0" w:footer="0" w:header="0"/>
        </w:sectPr>
      </w:pPr>
    </w:p>
    <w:bookmarkStart w:id="155" w:name="page156"/>
    <w:bookmarkEnd w:id="15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Merrill Lynch, Pierce, Fenner &amp; Smith Incorporated, Citigroup Global Markets Inc., Credit Suisse Securities (USA) LLC, Goldman Sachs Bank USA, J.P. Morgan Securities LLC, Morgan Stanley MUFG Loan Partners, LLC, PNC Capital Markets LLC and RBS Securities Inc.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agreement entered into by a Lender and an assignee (with the consent of any party whose consent is required by Section 9.04 of this Agreement), and accepted by the Administrative Agent, in the form of Exhibit A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Indebtedness</w:t>
      </w:r>
      <w:r>
        <w:rPr>
          <w:rFonts w:ascii="Times New Roman" w:cs="Times New Roman" w:eastAsia="Times New Roman" w:hAnsi="Times New Roman"/>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has the meaning set forth in Section 2.05(b)(iii).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Swingline commitment, as the case may be, is terminated in accordance with the provisions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Effective Rate in effect on such day plus 1/2 of 1%, (b) the rate of interest in effect for such day as publicly announced from time to time by Bank of America as its “prime rate,” and (c) the LIBO Rate in effect on such day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1" w:right="239" w:bottom="1440" w:gutter="0" w:footer="0" w:header="0"/>
        </w:sectPr>
      </w:pPr>
    </w:p>
    <w:bookmarkStart w:id="156" w:name="page157"/>
    <w:bookmarkEnd w:id="156"/>
    <w:p>
      <w:pPr>
        <w:jc w:val="both"/>
        <w:spacing w:after="0" w:line="266" w:lineRule="auto"/>
        <w:rPr>
          <w:sz w:val="20"/>
          <w:szCs w:val="20"/>
          <w:color w:val="auto"/>
        </w:rPr>
      </w:pPr>
      <w:r>
        <w:rPr>
          <w:rFonts w:ascii="Times New Roman" w:cs="Times New Roman" w:eastAsia="Times New Roman" w:hAnsi="Times New Roman"/>
          <w:sz w:val="18"/>
          <w:szCs w:val="18"/>
          <w:color w:val="auto"/>
        </w:rPr>
        <w:t>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Mylan Inc., a Pennsylvania corporation, or the Successor Borrower,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Borrower and, if applicable, the Designated Borrower.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with respect to Eurodollar Loans denominated in (i) Dollars, $5,000,000, (ii) Euros, €4,000,000, (iii) Sterling, £4,000,000, (iv) Yen, ¥500,000,000 and (v) any other Alternative Currency, such amount as may be specified by the Administrative Agent.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with respect to Eurodollar Loans denominated in (i) Dollars, $1,000,000, (ii) Euros, €1,000,000, (iii) Sterling, £1,000,000, (iv) Yen, ¥100,000,000 and (v) any other Alternative Currency, such amount as may be specified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applicable Borrower for a Borrowing in accordance with Section 2.03.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or the state of New York and:</w:t>
      </w:r>
    </w:p>
    <w:p>
      <w:pPr>
        <w:spacing w:after="0" w:line="176" w:lineRule="exact"/>
        <w:rPr>
          <w:sz w:val="20"/>
          <w:szCs w:val="20"/>
          <w:color w:val="auto"/>
        </w:rPr>
      </w:pPr>
    </w:p>
    <w:p>
      <w:pPr>
        <w:jc w:val="both"/>
        <w:ind w:left="660" w:firstLine="645"/>
        <w:spacing w:after="0" w:line="261" w:lineRule="auto"/>
        <w:tabs>
          <w:tab w:leader="none" w:pos="17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8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21" w:right="239" w:bottom="1440" w:gutter="0" w:footer="0" w:header="0"/>
        </w:sectPr>
      </w:pPr>
    </w:p>
    <w:bookmarkStart w:id="157" w:name="page158"/>
    <w:bookmarkEnd w:id="157"/>
    <w:p>
      <w:pPr>
        <w:jc w:val="both"/>
        <w:ind w:left="660" w:firstLine="645"/>
        <w:spacing w:after="0" w:line="266" w:lineRule="auto"/>
        <w:tabs>
          <w:tab w:leader="none" w:pos="16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American Triumvirate Insurance Company, a Vermont corporation or any successor thereto, so long as such Subsidiary is maintained as a special purpose self-insurance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card obligations</w:t>
      </w:r>
      <w:r>
        <w:rPr>
          <w:rFonts w:ascii="Times New Roman" w:cs="Times New Roman" w:eastAsia="Times New Roman" w:hAnsi="Times New Roman"/>
          <w:sz w:val="18"/>
          <w:szCs w:val="18"/>
          <w:color w:val="auto"/>
        </w:rPr>
        <w:t>” means any Loan Party or any Subsidiary’s participation in commercial (or purchasing) card programs.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Convertible Notes</w:t>
      </w:r>
      <w:r>
        <w:rPr>
          <w:rFonts w:ascii="Times New Roman" w:cs="Times New Roman" w:eastAsia="Times New Roman" w:hAnsi="Times New Roman"/>
          <w:sz w:val="18"/>
          <w:szCs w:val="18"/>
          <w:color w:val="auto"/>
        </w:rPr>
        <w:t>” means the Borrower’s 3.75% Cash Convertible Notes due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82" w:lineRule="auto"/>
        <w:tabs>
          <w:tab w:leader="none" w:pos="107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Indebtedness issued or directly and fully guaranteed or insured by the government or any agency or instrumentality of (i) the United States or (ii) any member nation of the European Union;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21" w:right="239" w:bottom="1440" w:gutter="0" w:footer="0" w:header="0"/>
        </w:sectPr>
      </w:pPr>
    </w:p>
    <w:bookmarkStart w:id="158" w:name="page159"/>
    <w:bookmarkEnd w:id="158"/>
    <w:p>
      <w:pPr>
        <w:spacing w:after="0" w:line="235" w:lineRule="exact"/>
        <w:rPr>
          <w:sz w:val="20"/>
          <w:szCs w:val="20"/>
          <w:color w:val="auto"/>
        </w:rPr>
      </w:pPr>
      <w:r>
        <w:rPr>
          <w:rFonts w:ascii="Times New Roman" w:cs="Times New Roman" w:eastAsia="Times New Roman" w:hAnsi="Times New Roman"/>
          <w:sz w:val="18"/>
          <w:szCs w:val="18"/>
          <w:color w:val="auto"/>
        </w:rPr>
        <w:t>least A-2, P-2, or F-2, short-term, or A or A2, long-term, by Moody’s, S&amp;P or Fitch (any such bank in the foregoing clause (i) or (ii) being an “</w:t>
      </w:r>
      <w:r>
        <w:rPr>
          <w:rFonts w:ascii="Times New Roman" w:cs="Times New Roman" w:eastAsia="Times New Roman" w:hAnsi="Times New Roman"/>
          <w:sz w:val="18"/>
          <w:szCs w:val="18"/>
          <w:u w:val="single" w:color="auto"/>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Issues with only one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credit rating must have a minimum credit rating of A 1, P 1 or F 1;</w:t>
      </w:r>
    </w:p>
    <w:p>
      <w:pPr>
        <w:spacing w:after="0" w:line="179" w:lineRule="exact"/>
        <w:rPr>
          <w:sz w:val="20"/>
          <w:szCs w:val="20"/>
          <w:color w:val="auto"/>
        </w:rPr>
      </w:pPr>
    </w:p>
    <w:p>
      <w:pPr>
        <w:jc w:val="both"/>
        <w:ind w:firstLine="656"/>
        <w:spacing w:after="0" w:line="266" w:lineRule="auto"/>
        <w:tabs>
          <w:tab w:leader="none" w:pos="107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asset-backed securities rated AAA by Moody’s, S&amp;P, or Fitch, with weighted average lives of 3 years or less (measured to the next maturity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and reverse repurchase agreements relating to marketable direct obligations issued or unconditionally guaranteed or insured by the government or any agency or instrumentality of (i) the United States or (ii) any member nation of the European Union maturing within 365 days from the date of acquisition;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which invest substantially all of their assets in assets described in the preceding clauses (1) through (5);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in the case of clauses (4) and (5) above, the maximum maturity date of individual securities or deposits will be 3 years or less at the time of purchase or deposit.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jc w:val="both"/>
        <w:ind w:firstLine="656"/>
        <w:spacing w:after="0" w:line="257" w:lineRule="auto"/>
        <w:tabs>
          <w:tab w:leader="none" w:pos="103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consummation of the Specified Acquisition Transaction (i)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Mylan or</w:t>
      </w:r>
    </w:p>
    <w:p>
      <w:pPr>
        <w:spacing w:after="0" w:line="1" w:lineRule="exact"/>
        <w:rPr>
          <w:rFonts w:ascii="Times New Roman" w:cs="Times New Roman" w:eastAsia="Times New Roman" w:hAnsi="Times New Roman"/>
          <w:sz w:val="18"/>
          <w:szCs w:val="18"/>
          <w:color w:val="auto"/>
        </w:rPr>
      </w:pPr>
    </w:p>
    <w:p>
      <w:pPr>
        <w:ind w:firstLine="8"/>
        <w:spacing w:after="0" w:line="261" w:lineRule="auto"/>
        <w:tabs>
          <w:tab w:leader="none" w:pos="2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 of a majority of the seats (other than vacant seats) on the board of directors of Mylan by Persons who were neither (A) nominated by the board of directors of Mylan nor (B) appointed by directors so nominated; or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Specified Acquisition Transaction (i) the acquisition of beneficial ownership, directly or indirectly, by any Person or group (within the meaning of the Securities Exchange Act of 1934 and the rules of the SEC thereunder as in effect on the Closing Date), other than the Foundation, of Equity Interests representing more than 35% of the aggregate ordinary voting power represented by the issued and outstanding Equity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21"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Interests of New Mylan or (ii) occupation of a majority of the seats (other than vacant seats) on the board of directors of New Mylan by Persons who were not</w:t>
      </w:r>
    </w:p>
    <w:p>
      <w:pPr>
        <w:spacing w:after="0" w:line="27" w:lineRule="exact"/>
        <w:rPr>
          <w:sz w:val="20"/>
          <w:szCs w:val="20"/>
          <w:color w:val="auto"/>
        </w:rPr>
      </w:pPr>
    </w:p>
    <w:p>
      <w:pPr>
        <w:jc w:val="both"/>
        <w:ind w:firstLine="8"/>
        <w:spacing w:after="0" w:line="254" w:lineRule="auto"/>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members of the board of directors of Mylan, or (B) nominated by the board of directors of New Mylan;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event described by clause (i) or (ii) of this clause (b) that lasts for fewer than 60 days shall not constitute a Change in Control if prior to the expiration of such period, the Foundation exercises its right to acquire Equity Interests in New Mylan such that the event that would otherwise constitute a Change in Control has ceased to exist (it being understood that during such period a Default (but not an Event of Default) shall exist hereunder); or</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103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Specified Acquisition Transaction, the failure of New Mylan to own, directly or indirectly, one hundred percent (100%) of the Equity Interests of Mylan.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have the meaning assigned to such term in Section 9.14.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 (c) when used with respect to Lenders, refers to whether such Lender has a Loan or Commitment with respect to a particular Class of Loans or Commitments.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specified in Section 4.01 of this Agreement were satisfied (or waived in accordance with Section 9.02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Commitment.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21" w:right="2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 at any time prior to the consummation of the Specified Acquisition Transaction, Mylan and (b) thereafter, New Mylan.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Company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xml:space="preserve">, (ix) without duplication, income of any non-wholly owned Subsidiaries and deductions attributable to minority interests, (x) any non-cash costs or expenses incurred by the Company or any Subsidiary pursuant to any management equity plan or stock plan, (xi) expenses with respect to casualty events, (xii) the amount of net cost savings in connection with any acquisition of an Acquired Entity or Business or otherwise projected by the Company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connection with any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21" w:right="239" w:bottom="1440" w:gutter="0" w:footer="0" w:header="0"/>
        </w:sectPr>
      </w:pPr>
    </w:p>
    <w:bookmarkStart w:id="161" w:name="page162"/>
    <w:bookmarkEnd w:id="16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payments (including earn-out payments, non-compete payments and consulting payments but excluding ongoing royalty payments) made in connection with any acquisition of an Acquired Entity or Business, (xv) non-cash charges pursuant to ASC 715,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w:t>
      </w:r>
    </w:p>
    <w:p>
      <w:pPr>
        <w:spacing w:after="0" w:line="3" w:lineRule="exact"/>
        <w:rPr>
          <w:sz w:val="20"/>
          <w:szCs w:val="20"/>
          <w:color w:val="auto"/>
        </w:rPr>
      </w:pPr>
    </w:p>
    <w:p>
      <w:pPr>
        <w:jc w:val="both"/>
        <w:ind w:firstLine="8"/>
        <w:spacing w:after="0" w:line="253" w:lineRule="auto"/>
        <w:tabs>
          <w:tab w:leader="none" w:pos="3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all calculated for the Company and its Subsidiaries (other than the Captive Insurance Subsidiary) in accordance with GAAP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 (iii) amortization of deferred financing fees and (iv) expensing of bridge or other financing fees) of the Company and its Subsidiaries (other than the Captive Insurance Subsidiary) calculated on a consolidated basis for such period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without duplication: (a) imputed interest attributable to Capital Lease Obligations of the Company and its Subsidiaries (other than the Captive Insurance Subsidiary) for such period, (b) commissions, discounts and other fees and charges owed by the Company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Company and its Subsidiaries (other than the Captive Insurance Subsidiary) for such period, (d) cash contributions to any employee stock ownership plan or similar trust made by the Company or any of its Subsidiaries to the extent such contributions are used by such plan or trust to pay interest or fees to any Person (other than the Company or a wholly owned Subsidiary) in connection with Indebtedness incurred by such plan or trust for such period, (e) all interest paid or payable with respect to discontinued operations of the Company or any of its Subsidiaries for such period, (f) the interest portion of any deferred payment obligations of the Company or any of its Subsidiaries (other than the Captive Insurance Subsidiary) for such period, (g) all interest on any Indebtedness of the Company or any of its Subsidiaries (other than the Captive Insurance Subsidiary) of the type described in clause (e) or (f) of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for such period and (h) the interest component of all Attributable Receivables Indebtedness of the Company and its Subsidiaries (other than the Captive Insurance Subsidiary).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21" w:right="239" w:bottom="1440" w:gutter="0" w:footer="0" w:header="0"/>
        </w:sectPr>
      </w:pPr>
    </w:p>
    <w:bookmarkStart w:id="162" w:name="page163"/>
    <w:bookmarkEnd w:id="162"/>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means, for any Test Period, the ratio of (a) Consolidated Total Indebtedness as of the last day of such Test Period to (b) Consolidated EBITDA for such Test Period.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calculating Consolidated Net Income of the Company and its Subsidiaries for any period, there shall be excluded (a) the income (or deficit) of any Person accrued prior to the date it becomes a Subsidiary of the Company or is merged into or consolidated with the Company or any of its Subsidiaries, (b)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Company and its Subsidiaries), as a result of any acquisition, or the amortization or write-off of any amounts thereof.</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with respect to the Company,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Company and its Subsidiaries delivered pursuant to Section 5.01(a) or (b).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Subsidiaries that would be consolidated with the Company in accordance with GAAP.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21" w:right="239" w:bottom="1440" w:gutter="0" w:footer="0" w:header="0"/>
        </w:sectPr>
      </w:pPr>
    </w:p>
    <w:bookmarkStart w:id="163" w:name="page164"/>
    <w:bookmarkEnd w:id="1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Company and its Subsidiaries calculated in accordance with GAAP on a consolidated basis as of such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at any time the sum, without duplication, of (i) the aggregate principal amount of Indebtedness of the Company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principal amount of any obligations of any Person (other than the Company or any Subsidiary) of the type described in the foregoing clause (i) that are Guaranteed by the Company or any Subsidiary (whether or not reflected on a consolidated balance sheet of the Company).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with respect to any Person, the power, directly or indirectly, to direct or cause the direction of the management and policies of such Person, whether by contract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such Lender’s Revolving Credit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United Kingdom Corporation Tax Act 2009.</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(a) Mylan’s non-credit-enhanced, senior unsecured long-term debt (provided that (x) Mylan remains a Borrower or a Guarantor and (y) clause (b) below is not then applicable) or (b) after the consummation of the Specified Acquisition Transaction, New Mylan’s non-credit-enhanced, senior unsecured long-term debt (provided that (x) New Mylan is a Borrower or a Guarantor and (y) a Debt Rating for New Mylan is then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respective Debt Ratings issued by the foregoing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21" w:right="239" w:bottom="1440" w:gutter="0" w:footer="0" w:header="0"/>
        </w:sectPr>
      </w:pPr>
    </w:p>
    <w:bookmarkStart w:id="164" w:name="page165"/>
    <w:bookmarkEnd w:id="164"/>
    <w:p>
      <w:pPr>
        <w:jc w:val="both"/>
        <w:spacing w:after="0" w:line="261" w:lineRule="auto"/>
        <w:rPr>
          <w:sz w:val="20"/>
          <w:szCs w:val="20"/>
          <w:color w:val="auto"/>
        </w:rPr>
      </w:pPr>
      <w:r>
        <w:rPr>
          <w:rFonts w:ascii="Times New Roman" w:cs="Times New Roman" w:eastAsia="Times New Roman" w:hAnsi="Times New Roman"/>
          <w:sz w:val="18"/>
          <w:szCs w:val="18"/>
          <w:color w:val="auto"/>
        </w:rPr>
        <w:t>rating agencies differ by one level, then the Pricing Level for the higher of such Debt Ratings shall apply (with the Debt Rating for Pricing Level 1 being the highest and the Debt Rating for Pricing Level 5 being the lowest); (ii) if there is a split in Debt Ratings of more than one level, then the Pricing Level that is one level higher than the Pricing Level of the lower Debt Rating shall apply; (iii) if there exists only one Debt Rating, such Debt Rating shall apply; and (iv) if no Debt Rating is available, Pricing Level 5 shall apply.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has the meaning set forth in Section 2.12(c).</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to (i) fund all or any portion of any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Company,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21" w:right="239" w:bottom="1440" w:gutter="0" w:footer="0" w:header="0"/>
        </w:sectPr>
      </w:pPr>
    </w:p>
    <w:bookmarkStart w:id="165" w:name="page166"/>
    <w:bookmarkEnd w:id="165"/>
    <w:p>
      <w:pPr>
        <w:jc w:val="both"/>
        <w:spacing w:after="0" w:line="261" w:lineRule="auto"/>
        <w:rPr>
          <w:sz w:val="20"/>
          <w:szCs w:val="20"/>
          <w:color w:val="auto"/>
        </w:rPr>
      </w:pPr>
      <w:r>
        <w:rPr>
          <w:rFonts w:ascii="Times New Roman" w:cs="Times New Roman" w:eastAsia="Times New Roman" w:hAnsi="Times New Roman"/>
          <w:sz w:val="18"/>
          <w:szCs w:val="18"/>
          <w:color w:val="auto"/>
        </w:rPr>
        <w:t>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the Company, each Issuing Bank, the Swingline Lender and each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and proceedings and the environmental matters disclosed in any reports, schedules, forms, proxy statements, prospectuses (including prospectus supplements), registration statements and other information filed by Mylan with the SEC or furnished by Mylan to the SEC pursuant to the Securities Exchange Act, in each case, filed or furnished before the Closing Date and which are available to the Lenders before the Closing Date or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Company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Latest Maturity Date.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21" w:right="2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9.04(b)(iii), (v) and (vi) (subject to such consents, if any, as may be required under Section 9.04(b)(iii)).</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in accordance with the Treaty of Rome 1957, as amended by the Single European Act 1986, the Maastricht Treaty of 1992 and the Amsterdam Treaty of 1998.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on the environment on health and safety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jc w:val="both"/>
        <w:ind w:firstLine="8"/>
        <w:spacing w:after="0" w:line="255" w:lineRule="auto"/>
        <w:tabs>
          <w:tab w:leader="none" w:pos="2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21" w:right="239" w:bottom="1440" w:gutter="0" w:footer="0" w:header="0"/>
        </w:sectPr>
      </w:pPr>
    </w:p>
    <w:bookmarkStart w:id="167" w:name="page168"/>
    <w:bookmarkEnd w:id="167"/>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or in reorganization, within the meaning of Title IV of ERISA.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u w:val="single" w:color="auto"/>
          <w:color w:val="auto"/>
        </w:rPr>
        <w:t>EUR</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LIBO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Foreign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(d) UK withholding Taxes imposed on a payment by the UK Borrower (i) that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Governmental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21" w:right="239" w:bottom="1440" w:gutter="0" w:footer="0" w:header="0"/>
        </w:sectPr>
      </w:pPr>
    </w:p>
    <w:bookmarkStart w:id="168" w:name="page169"/>
    <w:bookmarkEnd w:id="168"/>
    <w:p>
      <w:pPr>
        <w:jc w:val="both"/>
        <w:spacing w:after="0" w:line="282" w:lineRule="auto"/>
        <w:rPr>
          <w:sz w:val="20"/>
          <w:szCs w:val="20"/>
          <w:color w:val="auto"/>
        </w:rPr>
      </w:pPr>
      <w:r>
        <w:rPr>
          <w:rFonts w:ascii="Times New Roman" w:cs="Times New Roman" w:eastAsia="Times New Roman" w:hAnsi="Times New Roman"/>
          <w:sz w:val="18"/>
          <w:szCs w:val="18"/>
          <w:color w:val="auto"/>
        </w:rPr>
        <w:t>Authority or (ii) to a Lender that is a UK Treaty Lender, if the withholding Taxes have been imposed notwithstanding compliance by the UK Borrower with its obligations under Section 2.16(h)(vi) and (e) any U.S. federal withholding Taxes imposed pursuant to FATCA.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Credit Agreement, dated as of June 27, 2013, by and among Mylan, as borrower, the lenders party thereto and Bank of America as administrative agent, as amended to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Letters of Credit listed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has the meaning assigned to such term in Section 2.22(a).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has the meaning assigned to such term in Section 2.22(a).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has the meaning assigned to such term in Section 2.22(b).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Jurisdiction Deposit</w:t>
      </w:r>
      <w:r>
        <w:rPr>
          <w:rFonts w:ascii="Times New Roman" w:cs="Times New Roman" w:eastAsia="Times New Roman" w:hAnsi="Times New Roman"/>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or Issuing Bank that is not a U.S. Person.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21" w:right="239" w:bottom="1440" w:gutter="0" w:footer="0" w:header="0"/>
        </w:sectPr>
      </w:pPr>
    </w:p>
    <w:bookmarkStart w:id="169" w:name="page170"/>
    <w:bookmarkEnd w:id="1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means a Loan Party that is organized under the laws of a jurisdiction other than the United States, a State thereof or the District of Columbia.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Foundation</w:t>
      </w:r>
      <w:r>
        <w:rPr>
          <w:rFonts w:ascii="Times New Roman" w:cs="Times New Roman" w:eastAsia="Times New Roman" w:hAnsi="Times New Roman"/>
          <w:sz w:val="18"/>
          <w:szCs w:val="18"/>
          <w:color w:val="auto"/>
        </w:rPr>
        <w:t>” means a Dutch law foundation, the articles of association of which will provide that the objects of such Dutch law foundation are to serve the best interests of New Mylan and the business conducted by New Mylan and its Subsidiaries as permitted by and in accordance with Dutch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Company in good faith.</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means the Guarantee set forth in Article X or other form of guarantee agreement reasonably acceptable to the Administrative Agent and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21" w:right="2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each Affiliate or Subsidiary, if any, that provides a guarantee of the Obligations pursuant to Section 5.09 or otherwise.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 Revenue &amp; Customs</w:t>
      </w:r>
      <w:r>
        <w:rPr>
          <w:rFonts w:ascii="Times New Roman" w:cs="Times New Roman" w:eastAsia="Times New Roman" w:hAnsi="Times New Roman"/>
          <w:sz w:val="18"/>
          <w:szCs w:val="18"/>
          <w:color w:val="auto"/>
        </w:rPr>
        <w:t>” means Her Majesty’s Revenue &amp; Customs, the UK Tax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has the meaning set forth in Section 2.05(c)(i).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Commitments</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21" w:right="239" w:bottom="1440" w:gutter="0" w:footer="0" w:header="0"/>
        </w:sectPr>
      </w:pPr>
    </w:p>
    <w:bookmarkStart w:id="171" w:name="page172"/>
    <w:bookmarkEnd w:id="17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within 60 days thereafter and included as Indebtedness of such Person.</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an applicable Borrower to convert or continue a Revolving Borrowing in accordance with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(other than a Swingline Loan), the last day of each March, June, September and December, (b)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Eurocurrency Borrowing under any Class of Commitments, the period commencing on the date of such Borrowing and ending on the numerically corresponding day in the calendar month that is one, two, three or six months thereafter (in each case, subject to availability), or such other period that is twelve months or less requested by the applicable Borrower and that is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jc w:val="both"/>
        <w:ind w:firstLine="8"/>
        <w:spacing w:after="0" w:line="252" w:lineRule="auto"/>
        <w:tabs>
          <w:tab w:leader="none" w:pos="2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21" w:right="239" w:bottom="1440" w:gutter="0" w:footer="0" w:header="0"/>
        </w:sectPr>
      </w:pPr>
    </w:p>
    <w:bookmarkStart w:id="172" w:name="page173"/>
    <w:bookmarkEnd w:id="1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Company or any Subsidiary (an “</w:t>
      </w:r>
      <w:r>
        <w:rPr>
          <w:rFonts w:ascii="Times New Roman" w:cs="Times New Roman" w:eastAsia="Times New Roman" w:hAnsi="Times New Roman"/>
          <w:sz w:val="18"/>
          <w:szCs w:val="18"/>
          <w:u w:val="single" w:color="auto"/>
          <w:color w:val="auto"/>
        </w:rPr>
        <w:t>Initial Investing Person</w:t>
      </w:r>
      <w:r>
        <w:rPr>
          <w:rFonts w:ascii="Times New Roman" w:cs="Times New Roman" w:eastAsia="Times New Roman" w:hAnsi="Times New Roman"/>
          <w:sz w:val="18"/>
          <w:szCs w:val="18"/>
          <w:color w:val="auto"/>
        </w:rPr>
        <w:t>”) transfers an amount of cash or other Property (the “</w:t>
      </w:r>
      <w:r>
        <w:rPr>
          <w:rFonts w:ascii="Times New Roman" w:cs="Times New Roman" w:eastAsia="Times New Roman" w:hAnsi="Times New Roman"/>
          <w:sz w:val="18"/>
          <w:szCs w:val="18"/>
          <w:u w:val="single" w:color="auto"/>
          <w:color w:val="auto"/>
        </w:rPr>
        <w:t>Invested Amount</w:t>
      </w:r>
      <w:r>
        <w:rPr>
          <w:rFonts w:ascii="Times New Roman" w:cs="Times New Roman" w:eastAsia="Times New Roman" w:hAnsi="Times New Roman"/>
          <w:sz w:val="18"/>
          <w:szCs w:val="18"/>
          <w:color w:val="auto"/>
        </w:rPr>
        <w:t>”) for purposes of permitting the Company or one or more other Subsidiaries to ultimately make an Investment of the Invested Amount in the Company, any Subsidiary or any other Person (the Person in which such Investment is ultimately made,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through a series of substantially concurrent intermediate transfers of the Invested Amount to the Company or one or more other Subsidiaries other than the Subject Person (each an “</w:t>
      </w:r>
      <w:r>
        <w:rPr>
          <w:rFonts w:ascii="Times New Roman" w:cs="Times New Roman" w:eastAsia="Times New Roman" w:hAnsi="Times New Roman"/>
          <w:sz w:val="18"/>
          <w:szCs w:val="18"/>
          <w:u w:val="single" w:color="auto"/>
          <w:color w:val="auto"/>
        </w:rPr>
        <w:t>Intermediate Investing Person</w:t>
      </w:r>
      <w:r>
        <w:rPr>
          <w:rFonts w:ascii="Times New Roman" w:cs="Times New Roman" w:eastAsia="Times New Roman" w:hAnsi="Times New Roman"/>
          <w:sz w:val="18"/>
          <w:szCs w:val="18"/>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Issuing Bank and any Borrower (or any Subsidiary) or in favor of the applicable Issuing Bank and relating to such Letter of Credit.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JPMorgan Chase Bank, N.A., Bank of America and any other Lender (subject to such Lender’s consent) designated by the Company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shall include any such Affiliate with respect to Letters of Credit issued by such Affiliate.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United Kingdom Income Tax Act 2007.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21" w:right="239" w:bottom="1440" w:gutter="0" w:footer="0" w:header="0"/>
        </w:sectPr>
      </w:pPr>
    </w:p>
    <w:bookmarkStart w:id="173" w:name="page174"/>
    <w:bookmarkEnd w:id="17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Lender, such Revolving Lender’s funding of its participation in any L/C Borrowing in accordance with its Applicable Percentage. All L/C Advances shall be denominated in Dollars.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an LC Disbursement under any Letter of Credit which has not been reimbursed on the date when made or refinanced as a Base Rate Revolving Borrowing. All L/C Borrowings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Outstanding Amount of all Letters of Credit at such time plus (b) the aggregate Outstanding Amount of all LC Disbursements, including Unreimbursed Amounts, that have not yet been reimbursed by or on behalf of the Borrowers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 Sublimit</w:t>
      </w:r>
      <w:r>
        <w:rPr>
          <w:rFonts w:ascii="Times New Roman" w:cs="Times New Roman" w:eastAsia="Times New Roman" w:hAnsi="Times New Roman"/>
          <w:sz w:val="18"/>
          <w:szCs w:val="18"/>
          <w:color w:val="auto"/>
        </w:rPr>
        <w:t>” means $150,000,000; provided that (i) the Letters of Credit for which JPMorgan Chase Bank, N.A. (together with its successors and assigns) acts as Issuing Bank shall not exceed $75,000,000 at any time (as such amount may be increased from time to time in the sole discretion of JPMorgan Chase Bank, N.A., so long as such amount does not exceed the LC Exposure Sublimit and notice of such increase is provided to the Administrative Agent) and (ii) the Letters of Credit for which Bank of America, N.A. (together with its successors and assigns) acts as Issuing Bank shall not exceed $75,000,000 at any time (as such amount may be increased from time to time in the sole discretion of Bank of America, N.A., so long as such amount does not exceed the LC Exposure Sublimit).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21" w:right="239" w:bottom="1440" w:gutter="0" w:footer="0" w:header="0"/>
        </w:sectPr>
      </w:pPr>
    </w:p>
    <w:bookmarkStart w:id="174" w:name="page175"/>
    <w:bookmarkEnd w:id="17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xml:space="preserve">” means, collectively, the Administrative Agent, the Lenders (including the Swingline Lender), the Issuing Banks and each co-agent or sub-agent appointed by the Administrative Agent from time to time pursuant to clause (e)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a Letter of Credit issued pursuant to Section 2.05.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680" w:hanging="375"/>
        <w:spacing w:after="0"/>
        <w:tabs>
          <w:tab w:leader="none" w:pos="1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Credit Event:</w:t>
      </w:r>
    </w:p>
    <w:p>
      <w:pPr>
        <w:spacing w:after="0" w:line="225" w:lineRule="exact"/>
        <w:rPr>
          <w:rFonts w:ascii="Times New Roman" w:cs="Times New Roman" w:eastAsia="Times New Roman" w:hAnsi="Times New Roman"/>
          <w:sz w:val="18"/>
          <w:szCs w:val="18"/>
          <w:color w:val="auto"/>
        </w:rPr>
      </w:pPr>
    </w:p>
    <w:p>
      <w:pPr>
        <w:jc w:val="both"/>
        <w:ind w:firstLine="1953"/>
        <w:spacing w:after="0" w:line="256" w:lineRule="auto"/>
        <w:tabs>
          <w:tab w:leader="none" w:pos="23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Eurocurrency Borrowing or Loan, denominated in any LIBOR Quoted Currency,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or a comparable or successor rate which rate is approved by the Administrative Agent and the Company (and if not so mutually agreed, the provisions of Section 2.13 shall apply),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187"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8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Eurocurrency Borrowing or Loan, denominated in any Non-LIBOR Quoted Currency, the rate per annum as designated with respect to such Alternative Currency at the time such Alternative Currency is approved by the Administrative Agent and the Revolving Lenders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21" w:right="239" w:bottom="1440" w:gutter="0" w:footer="0" w:header="0"/>
        </w:sectPr>
      </w:pPr>
    </w:p>
    <w:bookmarkStart w:id="175" w:name="page176"/>
    <w:bookmarkEnd w:id="175"/>
    <w:p>
      <w:pPr>
        <w:ind w:firstLine="1305"/>
        <w:spacing w:after="0" w:line="282" w:lineRule="auto"/>
        <w:tabs>
          <w:tab w:leader="none" w:pos="17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rate calculation with respect to a Base Rate Loan on any date, the rate per annum equal to LIBOR, at or about 11:00 a.m., London time determined two Business Days prior to such date for Dollar deposits with a term of one month commencing that day;</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9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LIBOR shall be in no event be deemed to be an amount less than zero and (y) to the extent a comparable or successor rate is approved by the Administrative Agent and the Company in connection with any rate set forth in this definition,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has the meaning specified in the definition of LIBO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 Quoted Currency</w:t>
      </w:r>
      <w:r>
        <w:rPr>
          <w:rFonts w:ascii="Times New Roman" w:cs="Times New Roman" w:eastAsia="Times New Roman" w:hAnsi="Times New Roman"/>
          <w:sz w:val="18"/>
          <w:szCs w:val="18"/>
          <w:color w:val="auto"/>
        </w:rPr>
        <w:t>” means each of the following currencies: Dollars; Euro; Sterling; and Yen; in each case as long as there is a published LIBOR rate with respect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Guarantee Agreement, any Issuer Documents, any promissory notes executed and delivered pursuant to Section 2.09(f) and any amendments, waivers, supplements or other modifications to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Borrowers and the Guarantors from time to time party hereto, if any. Upon consummation of the Specified Acquisition Transaction, New Mylan shall join this Agreement as a Designated Borrower, a Successor Borrower or a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Borrowers pursuant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property or financial condition of the Company and its Subsidiaries taken as a whole or (b) the validity or enforceability of this Agreement or any and all other Loan Documents, or the rights and remedies of the Administrative Agent and the Lenders thereunder.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of any one or more of the Loan Parties and their Subsidiaries in an aggregate principal amount exceeding $200,000,000.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Subsidiary (or group of Subsidiaries as to which a specified condition applies) that would be a “significant subsidiary” under Rule 1-02(w) of Regulation S-X.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21" w:right="239" w:bottom="1440" w:gutter="0" w:footer="0" w:header="0"/>
        </w:sectPr>
      </w:pPr>
    </w:p>
    <w:bookmarkStart w:id="176" w:name="page177"/>
    <w:bookmarkEnd w:id="17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means Moon of PA Inc., a Pennsylvania corporation, which, prior to the consummation of the Specified Acquisition Transaction, is a directly or indirectly wholly-owned subsidiary of New Mylan.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Mylan</w:t>
      </w:r>
      <w:r>
        <w:rPr>
          <w:rFonts w:ascii="Times New Roman" w:cs="Times New Roman" w:eastAsia="Times New Roman" w:hAnsi="Times New Roman"/>
          <w:sz w:val="18"/>
          <w:szCs w:val="18"/>
          <w:color w:val="auto"/>
        </w:rPr>
        <w:t>” means New Moon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organized under the laws of the Netherlands (and resident in the United Kingdom for UK tax purposes), and any successor entity (including a </w:t>
      </w:r>
      <w:r>
        <w:rPr>
          <w:rFonts w:ascii="Times New Roman" w:cs="Times New Roman" w:eastAsia="Times New Roman" w:hAnsi="Times New Roman"/>
          <w:sz w:val="18"/>
          <w:szCs w:val="18"/>
          <w:i w:val="1"/>
          <w:iCs w:val="1"/>
          <w:color w:val="auto"/>
        </w:rPr>
        <w:t>naamloze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which, prior to the consummation of the Specified Acquisition Transaction, will be an indirect subsidiary of Mylan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Specified Acquisition Transaction, will directly or indirectly hold Mylan as a Subsidiary.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has the meaning set forth in Section 2.05(b)(iii).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Non-LIBOR Quoted Currency</w:t>
      </w:r>
      <w:r>
        <w:rPr>
          <w:rFonts w:ascii="Times New Roman" w:cs="Times New Roman" w:eastAsia="Times New Roman" w:hAnsi="Times New Roman"/>
          <w:sz w:val="18"/>
          <w:szCs w:val="18"/>
          <w:color w:val="auto"/>
        </w:rPr>
        <w:t>” means any currency other than a LIBOR Quoted Currency.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made by each Borrower in favor of a Lender evidencing Loans made by such Lender to such Borrower, substantially in the form of Exhibit B.</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in Section 2.17(a).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21" w:right="239" w:bottom="1440" w:gutter="0" w:footer="0" w:header="0"/>
        </w:sectPr>
      </w:pPr>
    </w:p>
    <w:bookmarkStart w:id="177" w:name="page178"/>
    <w:bookmarkEnd w:id="1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Effective Rate and</w:t>
      </w:r>
    </w:p>
    <w:p>
      <w:pPr>
        <w:spacing w:after="0" w:line="27" w:lineRule="exact"/>
        <w:rPr>
          <w:sz w:val="20"/>
          <w:szCs w:val="20"/>
          <w:color w:val="auto"/>
        </w:rPr>
      </w:pPr>
    </w:p>
    <w:p>
      <w:pPr>
        <w:jc w:val="both"/>
        <w:ind w:firstLine="8"/>
        <w:spacing w:after="0" w:line="253" w:lineRule="auto"/>
        <w:tabs>
          <w:tab w:leader="none" w:pos="2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overnight rate as reasonably determined by the Administrative Agent, the applicable Issuing Bank, or the Swingline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each state so described in any EMU Legislation.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means (a) any call option or capped call option (or substantively equivalent derivative transaction) on the Company’s common stock purchased by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21" w:right="239" w:bottom="1440" w:gutter="0" w:footer="0" w:header="0"/>
        </w:sectPr>
      </w:pPr>
    </w:p>
    <w:bookmarkStart w:id="178" w:name="page179"/>
    <w:bookmarkEnd w:id="178"/>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in connection with an incurrence of Permitted Convertible Indebtedness, (b) the existing call options or capped call options (or substantively equivalent derivative transactions) purchased by Mylan (which may be transferred to New Mylan) in connection with the issuance of the Cash Convertible Notes and (c) any call option or capped call option (or substantively equivalent derivative transaction) replacing or refinancing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 w:lineRule="exact"/>
        <w:rPr>
          <w:sz w:val="20"/>
          <w:szCs w:val="20"/>
          <w:color w:val="auto"/>
        </w:rPr>
      </w:pPr>
    </w:p>
    <w:p>
      <w:pPr>
        <w:jc w:val="both"/>
        <w:ind w:firstLine="8"/>
        <w:spacing w:after="0" w:line="252"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the purchase price for any Permitted Bond Hedge Transaction occurring after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purchase price for any Permitted Bond Hedge Transaction it is refinancing or replacing,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means (a) Indebtedness of Mylan or New Mylan (which may be Guaranteed by the Guarantors) that is (1) convertible into common stock of the Company (and cash in lieu of fractional shares) and/or cash (in an amount determined by reference to the price of such common stock) or (2) sold as units with call options, warrants, rights or obligations to purchase (or substantially equivalent derivative transactions) that are exercisable for common stock of the Company and/or cash (in an amount determined by reference to the price of such common stock) and (b) the Cash Convertible Notes.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5"/>
        <w:spacing w:after="0" w:line="282" w:lineRule="auto"/>
        <w:tabs>
          <w:tab w:leader="none" w:pos="17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assessments or other governmental charges that are not overdue for a period of more than thirty (30) days or are being contested in compliance with Section 5.04;</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Company or any Subsidiary;</w:t>
      </w:r>
    </w:p>
    <w:p>
      <w:pPr>
        <w:spacing w:after="0" w:line="183" w:lineRule="exact"/>
        <w:rPr>
          <w:rFonts w:ascii="Times New Roman" w:cs="Times New Roman" w:eastAsia="Times New Roman" w:hAnsi="Times New Roman"/>
          <w:sz w:val="18"/>
          <w:szCs w:val="18"/>
          <w:color w:val="auto"/>
        </w:rPr>
      </w:pPr>
    </w:p>
    <w:p>
      <w:pPr>
        <w:ind w:left="660" w:firstLine="645"/>
        <w:spacing w:after="0" w:line="282" w:lineRule="auto"/>
        <w:tabs>
          <w:tab w:leader="none" w:pos="17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21" w:right="239" w:bottom="1440" w:gutter="0" w:footer="0" w:header="0"/>
        </w:sectPr>
      </w:pPr>
    </w:p>
    <w:bookmarkStart w:id="179" w:name="page180"/>
    <w:bookmarkEnd w:id="179"/>
    <w:p>
      <w:pPr>
        <w:ind w:left="660"/>
        <w:spacing w:after="0"/>
        <w:rPr>
          <w:sz w:val="20"/>
          <w:szCs w:val="20"/>
          <w:color w:val="auto"/>
        </w:rPr>
      </w:pPr>
      <w:r>
        <w:rPr>
          <w:rFonts w:ascii="Times New Roman" w:cs="Times New Roman" w:eastAsia="Times New Roman" w:hAnsi="Times New Roman"/>
          <w:sz w:val="18"/>
          <w:szCs w:val="18"/>
          <w:color w:val="auto"/>
        </w:rPr>
        <w:t>like nature (including those to secure health, safety and environmental obligations), in each case in the ordinary course of business;</w:t>
      </w:r>
    </w:p>
    <w:p>
      <w:pPr>
        <w:spacing w:after="0" w:line="225" w:lineRule="exact"/>
        <w:rPr>
          <w:sz w:val="20"/>
          <w:szCs w:val="20"/>
          <w:color w:val="auto"/>
        </w:rPr>
      </w:pPr>
    </w:p>
    <w:p>
      <w:pPr>
        <w:ind w:left="1740" w:hanging="435"/>
        <w:spacing w:after="0"/>
        <w:tabs>
          <w:tab w:leader="none" w:pos="17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judgments, decrees, attachments or awards that do not constitute an Event of Default under clause (k) of Article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VII;</w:t>
      </w:r>
    </w:p>
    <w:p>
      <w:pPr>
        <w:spacing w:after="0" w:line="207" w:lineRule="exact"/>
        <w:rPr>
          <w:sz w:val="20"/>
          <w:szCs w:val="20"/>
          <w:color w:val="auto"/>
        </w:rPr>
      </w:pPr>
    </w:p>
    <w:p>
      <w:pPr>
        <w:jc w:val="both"/>
        <w:ind w:left="660" w:firstLine="645"/>
        <w:spacing w:after="0" w:line="266" w:lineRule="auto"/>
        <w:tabs>
          <w:tab w:leader="none" w:pos="17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Company or any Subsidiary; and</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3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sub-lease, license or sublicense entered into by the Company or any of its Subsidiaries as a part of its business and covering only the assets so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Jurisdiction</w:t>
      </w:r>
      <w:r>
        <w:rPr>
          <w:rFonts w:ascii="Times New Roman" w:cs="Times New Roman" w:eastAsia="Times New Roman" w:hAnsi="Times New Roman"/>
          <w:sz w:val="18"/>
          <w:szCs w:val="18"/>
          <w:color w:val="auto"/>
        </w:rPr>
        <w:t>” means each of the Netherlands, the United Kingdom and the United States and any other jurisdiction approved by the Administrative Agent and each Lender.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any receivables facility or facilities created under the Permitted Receivables Facility Documents from time to time, providing for the sale or pledge by the Company and/or one or more other Receivables Sellers of Permitted Receivables Facility Assets (thereby providing financing to the Company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Company and/or the respective Receivables Sellers, in each case as more fully set forth in the Permitted Receivables Facility Documents.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Assets</w:t>
      </w:r>
      <w:r>
        <w:rPr>
          <w:rFonts w:ascii="Times New Roman" w:cs="Times New Roman" w:eastAsia="Times New Roman" w:hAnsi="Times New Roman"/>
          <w:sz w:val="18"/>
          <w:szCs w:val="18"/>
          <w:color w:val="auto"/>
        </w:rPr>
        <w:t>” means (i) Receivables (whether now existing or arising in the future) of the Company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Company and its Subsidiaries secured by Receivables (whether now existing or arising in the future) of the Company and its Subsidiaries which are made pursuant to a Permitted Receivables Facility.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Documents</w:t>
      </w:r>
      <w:r>
        <w:rPr>
          <w:rFonts w:ascii="Times New Roman" w:cs="Times New Roman" w:eastAsia="Times New Roman" w:hAnsi="Times New Roman"/>
          <w:sz w:val="18"/>
          <w:szCs w:val="18"/>
          <w:color w:val="auto"/>
        </w:rPr>
        <w:t>” means each of the documents and agreements entered into from time to time in connection with a Permitted Receivables Facility,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21" w:right="239" w:bottom="1440" w:gutter="0" w:footer="0" w:header="0"/>
        </w:sectPr>
      </w:pPr>
    </w:p>
    <w:bookmarkStart w:id="180" w:name="page181"/>
    <w:bookmarkEnd w:id="180"/>
    <w:p>
      <w:pPr>
        <w:jc w:val="both"/>
        <w:spacing w:after="0" w:line="253" w:lineRule="auto"/>
        <w:rPr>
          <w:sz w:val="20"/>
          <w:szCs w:val="20"/>
          <w:color w:val="auto"/>
        </w:rPr>
      </w:pPr>
      <w:r>
        <w:rPr>
          <w:rFonts w:ascii="Times New Roman" w:cs="Times New Roman" w:eastAsia="Times New Roman" w:hAnsi="Times New Roman"/>
          <w:sz w:val="18"/>
          <w:szCs w:val="18"/>
          <w:color w:val="auto"/>
        </w:rPr>
        <w:t>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Company) either (i) the terms as so amended, modified, supplemented, refinanced or replaced are reasonably customary for transactions of this type or (ii)(x) any such amendments, modifications, supplements, refinancings or replacements do not impose any conditions or requirements on the Company or any of its Subsidiaries that, taken as a whole, are more restrictive in any material respect than those in existence immediately prior to any such amendment, modification, supplement, refinancing or replacement as determined by the Company in good faith and</w:t>
      </w:r>
    </w:p>
    <w:p>
      <w:pPr>
        <w:spacing w:after="0" w:line="4" w:lineRule="exact"/>
        <w:rPr>
          <w:sz w:val="20"/>
          <w:szCs w:val="20"/>
          <w:color w:val="auto"/>
        </w:rPr>
      </w:pPr>
    </w:p>
    <w:p>
      <w:pPr>
        <w:ind w:firstLine="8"/>
        <w:spacing w:after="0" w:line="261" w:lineRule="auto"/>
        <w:tabs>
          <w:tab w:leader="none" w:pos="2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amendments, modifications, supplements, refinancings or replacements are not adverse in any material respect to the interests of the Lenders as determined by the Company in good faith.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Related Assets</w:t>
      </w:r>
      <w:r>
        <w:rPr>
          <w:rFonts w:ascii="Times New Roman" w:cs="Times New Roman" w:eastAsia="Times New Roman" w:hAnsi="Times New Roman"/>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with respect to any Person, any amendment,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without limitation,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21" w:right="239" w:bottom="1440" w:gutter="0" w:footer="0" w:header="0"/>
        </w:sectPr>
      </w:pPr>
    </w:p>
    <w:bookmarkStart w:id="181" w:name="page182"/>
    <w:bookmarkEnd w:id="181"/>
    <w:p>
      <w:pPr>
        <w:jc w:val="both"/>
        <w:spacing w:after="0" w:line="258" w:lineRule="auto"/>
        <w:rPr>
          <w:sz w:val="20"/>
          <w:szCs w:val="20"/>
          <w:color w:val="auto"/>
        </w:rPr>
      </w:pPr>
      <w:r>
        <w:rPr>
          <w:rFonts w:ascii="Times New Roman" w:cs="Times New Roman" w:eastAsia="Times New Roman" w:hAnsi="Times New Roman"/>
          <w:sz w:val="18"/>
          <w:szCs w:val="18"/>
          <w:color w:val="auto"/>
        </w:rPr>
        <w:t>such Indebtedness being modified, refinanced, refunded, renewed, replaced or extended that matures on or prior to the Latest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Company) as those contained in the documentation governing the Indebtedness being modified, refinanced, refunded, renewed, replaced or extended.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means (a) any call options, warrants or rights to purchase (or substantively equivalent derivative transactions) on common stock of the Company purchased by the Company substantially concurrently with a Permitted Bond Hedge Transaction and (b) the existing call options, warrants or rights to purchase (or substantively equivalent derivative transactions) sold by the Company substantially concurrently with the issuance of the Cash Convertible Notes.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means, with respect to any acquisition, the period beginning on the date such acquisition is consummated and ending on the one-year anniversary of the date on which such acquisition is consummated.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Equity Interests of any Person, means Equity Interests of any class or classes (however 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Bank of America as its prime rate in effect at its principal office in New York City; each change in the Prime Rate shall be effective from and including the date such change is publicly announced as being effective.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means, for any applicable period of measurement that includes all or any part of a fiscal quarter included in the Post-Acquisition Period, with respect to the Consolidated EBITDA of the applicable Acquired Entity or Business or the Consolidated EBITDA of the Company, the pro forma increase or decrease in such Consolidated EBITDA, projected by the Company in good faith as a result of (a) actions that have been taken during such Post-Acquisition Period for the purposes of realizing reasonably identifiable and factually supportable cost savings or (b) any additional costs incurred during such Post-Acquisition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21" w:right="239" w:bottom="1440" w:gutter="0" w:footer="0" w:header="0"/>
        </w:sectPr>
      </w:pPr>
    </w:p>
    <w:bookmarkStart w:id="182" w:name="page183"/>
    <w:bookmarkEnd w:id="18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Period, in each case in connection with the combination of the operations of such Acquired Entity or Business with the operations of the Company and its Subsidiaries and, in each case, which are expected to have a continuing impact on the consolidated financial results of the Company, calculated assuming that such actions had been taken on, or such costs had been incurred since,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Company owned by the Company or any of its Subsidiaries or any division, product line, or facility used for operations of the Company or any of its Subsidiaries, shall be excluded, and (ii) in the case of an acquisition or Investment described in the definition of “Specified Transaction,” shall be included,</w:t>
      </w:r>
    </w:p>
    <w:p>
      <w:pPr>
        <w:jc w:val="both"/>
        <w:ind w:firstLine="8"/>
        <w:spacing w:after="0" w:line="253" w:lineRule="auto"/>
        <w:tabs>
          <w:tab w:leader="none" w:pos="2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retirement of Indebtedness and (c) any Indebtedness incurred or assumed by the Company or any of the Subsidiaries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Company reasonably identifiable and factually supportable and (y) expected to have a continuing impact on the consolidated financial results of the Company and its Subsidiaries.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has the meaning assigned in Section 10.01.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Equity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in Section 5.01.</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means the acquisition by the Company or a Subsidiary of an Acquired Entity or Business which acquisition has been designated to the Lenders by a Responsible Officer of the Company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21" w:right="2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the Company other than Disqualified Equity Interests.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means a Lender which is beneficially entitled to interest payable to that Lender in respect of an advance under a Loan Document and is (i) a Lender (a) which is a bank (as defined for the purpose of section 879 of the ITA) making an advance under a Loan Document, or (b) in respect of an advance made under a Loan Document by a Person that was a bank (as so defined) at the time that the advance was made, and in each case, is within the charge to UK corporation tax as respects any payments of interest made in respect of that advance or would be within such charge as respects such payments apart from section 18A of the CTA or (ii) a UK Treaty Lender.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Moody’s and S&amp;P or if Moody’s or S&amp;P or both shall not make a corporate family or corporate credit rating, as applicable, on Mylan or New Mylan publicly available, a nationally recognized statistical rating agency or agencies, as the case may be, selected by the Company and reasonably satisfactory to the Administrative Agent which shall be substituted for Moody’s or S&amp;P or both, as the case may be.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and any Issuing Bank,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means a wholly owned Subsidiary of the Company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Company certifying that, to the best of such officer’s knowledge and belief after consultation with counsel, such designation complied with the foregoing conditions.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Sellers</w:t>
      </w:r>
      <w:r>
        <w:rPr>
          <w:rFonts w:ascii="Times New Roman" w:cs="Times New Roman" w:eastAsia="Times New Roman" w:hAnsi="Times New Roman"/>
          <w:sz w:val="18"/>
          <w:szCs w:val="18"/>
          <w:color w:val="auto"/>
        </w:rPr>
        <w:t>” means the Company and those Subsidiaries (other than Receivables Entities) that are from time to time party to the Permitted Receivables Facility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 of 1933,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administrators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Credit Exposure and unused Commitments representing more than 50% of the sum of the total Credit Exposure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21"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Exposure held or deemed held by, any Defaulting Lender shall be excluded for purposes of making a determination of Required Lenders.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the chief executive officer, executive director, president, vice president, chief financial officer, treasurer, assistant treasurer or controller of the Company or another Loan Party, as context shall require, and (b) solely for purposes of notices given pursuant to Article II, any other officer or employee of the applicable Borrower so designated by any of the foregoing officers in a notice to the Administrative Agent or any other officer or employee of the applicable Borrower designated in or pursuant to an agreement between the applicable Borrower and the Administrative Agent. Any document delivered hereunder that is signed by a Responsible Officer of the Company or another Loan Party shall be conclusively presumed to have been authorized by all necessary corporate, partnership and/or other action on the part of the Company or such Loan Party and such Responsible Officer shall be conclusively presumed to have acted on behalf of the Company or such Loan Party.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means any dividend or other distribution (whether in cash, securities or other property (other than Qualified Equity Interests)) with respect to any Equity Interests in the Company, or any payment (whether in cash, securities or other property (other than Qualified Equity Interests)),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 Eurocurrency Loan denominated in an Alternative Currency, (ii) each date of a continuation of a Eurocurrency Loan denominated in an Alternative Currency,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the Issuing Bank under any Letter of Credit denominated in an Alternative Currency and (iv) such additional dates as the Administrative Agent or the Issuing Bank shall determine or the Required Lenders shall require.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$1,500,000,000.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21" w:right="239" w:bottom="1440" w:gutter="0" w:footer="0" w:header="0"/>
        </w:sectPr>
      </w:pPr>
    </w:p>
    <w:bookmarkStart w:id="185" w:name="page186"/>
    <w:bookmarkEnd w:id="18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Dollar Equivalent of such Lender’s Revolving Loans, LC Exposure and Swingline Exposure at such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Maturity Date</w:t>
      </w:r>
      <w:r>
        <w:rPr>
          <w:rFonts w:ascii="Times New Roman" w:cs="Times New Roman" w:eastAsia="Times New Roman" w:hAnsi="Times New Roman"/>
          <w:sz w:val="18"/>
          <w:szCs w:val="18"/>
          <w:color w:val="auto"/>
        </w:rPr>
        <w:t>” means (i) with respect to the Revolving Commitments made pursuant to Section 2.01, December 19, 2019,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has the meaning assigned to such term in Section 2.22(c).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Request</w:t>
      </w:r>
      <w:r>
        <w:rPr>
          <w:rFonts w:ascii="Times New Roman" w:cs="Times New Roman" w:eastAsia="Times New Roman" w:hAnsi="Times New Roman"/>
          <w:sz w:val="18"/>
          <w:szCs w:val="18"/>
          <w:color w:val="auto"/>
        </w:rPr>
        <w:t>” has the meaning assigned to such term in Section 2.22(a).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has the meaning assigned to such term in Section 2.22(d).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each Lender that has a Revolving Commitment or that holds Revolving Credit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McGraw-Hill Financial, Inc.,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any successor thereto and any analogous Governmental Authority succeeding to any of its principal functions.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21" w:right="239" w:bottom="1440" w:gutter="0" w:footer="0" w:header="0"/>
        </w:sectPr>
      </w:pPr>
    </w:p>
    <w:bookmarkStart w:id="186" w:name="page187"/>
    <w:bookmarkEnd w:id="186"/>
    <w:p>
      <w:pPr>
        <w:jc w:val="both"/>
        <w:spacing w:after="0" w:line="282" w:lineRule="auto"/>
        <w:rPr>
          <w:sz w:val="20"/>
          <w:szCs w:val="20"/>
          <w:color w:val="auto"/>
        </w:rPr>
      </w:pPr>
      <w:r>
        <w:rPr>
          <w:rFonts w:ascii="Times New Roman" w:cs="Times New Roman" w:eastAsia="Times New Roman" w:hAnsi="Times New Roman"/>
          <w:sz w:val="18"/>
          <w:szCs w:val="18"/>
          <w:color w:val="auto"/>
        </w:rPr>
        <w:t>the light of all the facts and circumstances existing at such time, represents the amount that can reasonably be expected to become an actual or matured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has the meaning assigned in Section 2.20.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Transaction</w:t>
      </w:r>
      <w:r>
        <w:rPr>
          <w:rFonts w:ascii="Times New Roman" w:cs="Times New Roman" w:eastAsia="Times New Roman" w:hAnsi="Times New Roman"/>
          <w:sz w:val="18"/>
          <w:szCs w:val="18"/>
          <w:color w:val="auto"/>
        </w:rPr>
        <w:t>” means, the proposed acquisition by Mylan of certain of the assets of Abbott Labs pursuant to the Transaction Agreement and the consummation of each merger and inversion transactions contemplated therein, in accordance with the Transaction Agreement and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Test Period, any of the following events occurring after the first day of such Test Period and prior to the applicable date of determination: (i) any Investment by the Company or any Subsidiary in any Person (including in connection with the Specified Acquisition Transaction or any other acquisition) other than a Person that was a wholly-owned Subsidiary on the first day of such period involving consideration paid by the Company or such Subsidiary in excess of $10,000,000, (ii) any disposition outside the ordinary course of business of assets by the Company or any Subsidiary with a fair market value in excess of $10,000,000,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Company or any Subsidiary in excess of $10,000,000.</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applicable Issuing Bank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21"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indirectly, by the parent or one or more subsidiaries of the parent or by the parent and one or more subsidiaries of the parent.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specified in Section 2.23.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Bank of America, in its capacity as lender of Swingline Loans hereunder, or any successor swingline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xml:space="preserve">” means a notice of a Swingline Loan Borrowing pursuant to Section 2.04, which, shall be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Sublimit</w:t>
      </w:r>
      <w:r>
        <w:rPr>
          <w:rFonts w:ascii="Times New Roman" w:cs="Times New Roman" w:eastAsia="Times New Roman" w:hAnsi="Times New Roman"/>
          <w:sz w:val="18"/>
          <w:szCs w:val="18"/>
          <w:color w:val="auto"/>
        </w:rPr>
        <w:t>” means $125,000,000.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the period of four fiscal quarters of the Company ending on a specified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21" w:right="239" w:bottom="1440" w:gutter="0" w:footer="0" w:header="0"/>
        </w:sectPr>
      </w:pPr>
    </w:p>
    <w:bookmarkStart w:id="188" w:name="page189"/>
    <w:bookmarkEnd w:id="18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xml:space="preserve"> means the Amended and Restated Business Transfer Agreement and Plan of Merger, dated as of November 4, 2014, among Abbott Labs, Mylan, New Mylan and Merger Sub.</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the use of the proceeds thereof and the issuance of Letters of Credit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each mean the United Kingdom of Great Britain and Northern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w:t>
      </w:r>
      <w:r>
        <w:rPr>
          <w:rFonts w:ascii="Times New Roman" w:cs="Times New Roman" w:eastAsia="Times New Roman" w:hAnsi="Times New Roman"/>
          <w:sz w:val="18"/>
          <w:szCs w:val="18"/>
          <w:color w:val="auto"/>
        </w:rPr>
        <w:t>” means New Mylan.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 DTTP Filing</w:t>
      </w:r>
      <w:r>
        <w:rPr>
          <w:rFonts w:ascii="Times New Roman" w:cs="Times New Roman" w:eastAsia="Times New Roman" w:hAnsi="Times New Roman"/>
          <w:sz w:val="18"/>
          <w:szCs w:val="18"/>
          <w:color w:val="auto"/>
        </w:rPr>
        <w:t>” means an HM Revenue &amp; Customs' Form DTTP2 duly completed and filed by the UK Borrower within the applicable time limit, which contains the scheme reference number and jurisdiction of Tax residence provided by a Lender either (a) in Schedule 2.01 or (b) if the Lender is not a party to this Agreement at the time that this Agreement is entered into, in the relevant Assignment and Assumption.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means a double taxation agreement one of the parties to which is the United Kingdom and which makes provision for full exemption from Taxes imposed by the UK on interest.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that need to be satisfied by that Lender in the relevant UK Treaty for full exemption from Taxes imposed by the UK on interest, assuming satisfaction of (i) any necessary procedural formalities and (ii) any condition which relates (expressly or by implication) to there not being a special relationship between the Borrower making the applicable payment and a Lender or between either of them and another person, or to the amounts or terms of any Loan.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Passport Scheme</w:t>
      </w:r>
      <w:r>
        <w:rPr>
          <w:rFonts w:ascii="Times New Roman" w:cs="Times New Roman" w:eastAsia="Times New Roman" w:hAnsi="Times New Roman"/>
          <w:sz w:val="18"/>
          <w:szCs w:val="18"/>
          <w:color w:val="auto"/>
        </w:rPr>
        <w:t>” means the HM Revenue &amp; Customs double taxation treaty passport scheme.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means a jurisdiction, other than the United Kingdom, which is party to a UK Treaty.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set forth in Section 2.16(e).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21" w:right="23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has the meaning set forth in Section 2.05(c)(i).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 any Tax imposed in compliance with the Council Directive of 28 November 2006 on the common system of value added tax (EC Directive 2006/112) and (b) any other Tax of a similar nature, whether imposed in a member state of the European Union in substitution for (or in addition to) a Tax referred to in clause (a) above, or imposed elsewhere.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Japan.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and Borrowings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“Eurocurrency Loan”).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21" w:right="239" w:bottom="1440" w:gutter="0" w:footer="0" w:header="0"/>
        </w:sectPr>
      </w:pPr>
    </w:p>
    <w:bookmarkStart w:id="190" w:name="page191"/>
    <w:bookmarkEnd w:id="190"/>
    <w:p>
      <w:pPr>
        <w:ind w:right="20"/>
        <w:spacing w:after="0" w:line="282" w:lineRule="auto"/>
        <w:rPr>
          <w:sz w:val="20"/>
          <w:szCs w:val="20"/>
          <w:color w:val="auto"/>
        </w:rPr>
      </w:pPr>
      <w:r>
        <w:rPr>
          <w:rFonts w:ascii="Times New Roman" w:cs="Times New Roman" w:eastAsia="Times New Roman" w:hAnsi="Times New Roman"/>
          <w:sz w:val="18"/>
          <w:szCs w:val="18"/>
          <w:color w:val="auto"/>
        </w:rPr>
        <w:t>be construed to have the same meaning and effect and to refer to any and all tangible and intangible assets and properties, including cash, securities, accounts and contract rights.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4" w:lineRule="auto"/>
        <w:tabs>
          <w:tab w:leader="none" w:pos="17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Company notifies the Administrative Agent that the Company requests an amendment to any provision hereof to eliminate the effect of any change occurring after the Closing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Where any provision of this Agreement requires, as a condition to the permissibility of an action to be taken by any Loan Party or any of its Subsidiaries at any time prior to December 31, 2014, compliance on a Pro Forma Basis with Section 6.07, such provision shall mean that on a Pro Forma Basis, and after giving effect to such action, the Consolidated Leverage Ratio shall be no greater than the maximum level specified for December 31, 2014.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Company and its Subsidiaries pursuant to this Agreement shall be calculated by dividing the appropriate component by the other component, carrying the result to one place more than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21" w:right="239" w:bottom="1440" w:gutter="0" w:footer="0" w:header="0"/>
        </w:sectPr>
      </w:pPr>
    </w:p>
    <w:bookmarkStart w:id="191" w:name="page192"/>
    <w:bookmarkEnd w:id="191"/>
    <w:p>
      <w:pPr>
        <w:spacing w:after="0" w:line="282" w:lineRule="auto"/>
        <w:rPr>
          <w:sz w:val="20"/>
          <w:szCs w:val="20"/>
          <w:color w:val="auto"/>
        </w:rPr>
      </w:pPr>
      <w:r>
        <w:rPr>
          <w:rFonts w:ascii="Times New Roman" w:cs="Times New Roman" w:eastAsia="Times New Roman" w:hAnsi="Times New Roman"/>
          <w:sz w:val="18"/>
          <w:szCs w:val="18"/>
          <w:color w:val="auto"/>
        </w:rPr>
        <w:t>number of places by which such ratio is expressed herein and rounding the result up or down to the nearest number (with a rounding-up if there is no nearest number).</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6" w:lineRule="auto"/>
        <w:tabs>
          <w:tab w:leader="none" w:pos="17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may from time to time request that Eurocurrency Loans be made and/or Letters of Credit be issued in a currency other than Dollars and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Issuing Bank thereof. Each Revolving Lender (in the case of any such request pertaining to Revolving Loans) or the applicable Issuing Bank (in the case of a request pertaining to Letters of Credit) shall notify the Administrative Agent, not later than 11:00 a.m., ten (10) Business Days after receipt of such request whether it consents, in its sole discretion, to the making of Eurocurrency Loans or the issuance of Letters of Credit, as the case may be, in such requested currency.</w:t>
      </w:r>
    </w:p>
    <w:p>
      <w:pPr>
        <w:spacing w:after="0" w:line="185" w:lineRule="exact"/>
        <w:rPr>
          <w:rFonts w:ascii="Times New Roman" w:cs="Times New Roman" w:eastAsia="Times New Roman" w:hAnsi="Times New Roman"/>
          <w:sz w:val="18"/>
          <w:szCs w:val="18"/>
          <w:color w:val="auto"/>
        </w:rPr>
      </w:pPr>
    </w:p>
    <w:p>
      <w:pPr>
        <w:jc w:val="both"/>
        <w:ind w:firstLine="1305"/>
        <w:spacing w:after="0" w:line="253" w:lineRule="auto"/>
        <w:tabs>
          <w:tab w:leader="none" w:pos="16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preceding sentence shall be deemed to be a refusal by such Revolving Lender or such Issuing Bank, as the case may be, to permit Eurocurrency Loans to be made or Letters of Credit to be issued in such requested currency. If the Administrative Agent and all the Revolving Lenders consent to making Eurocurrency Loans in such requested currency, the Administrative Agent shall so notify the applicable Borrower and such currency shall thereupon be deemed for all purposes to be an Alternative Currency hereunder for purposes of any Borrowings of Eurocurrency Loans; and if the Administrative Agent and the applicable Issuing Bank consent to the issuance of Letters of Credit in such requested currency, the Administrative Agent shall so notify the applicable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applicable Borrower and the Company, and the Company may replace such non-consenting Lender, subject to Section 2.18(b).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21" w:right="239" w:bottom="1440" w:gutter="0" w:footer="0" w:header="0"/>
        </w:sectPr>
      </w:pPr>
    </w:p>
    <w:bookmarkStart w:id="192" w:name="page193"/>
    <w:bookmarkEnd w:id="192"/>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Change of Currency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0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u w:val="single" w:color="auto"/>
          <w:color w:val="auto"/>
        </w:rPr>
        <w:t>Exchange Rates; Currency Equivalents; LIBO Rate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6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21"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Documents shall be such Dollar Equivalent amount as so determined by the Administrative Agent or the applicable Issuing Bank, as applicable.</w:t>
      </w:r>
    </w:p>
    <w:p>
      <w:pPr>
        <w:spacing w:after="0" w:line="225" w:lineRule="exact"/>
        <w:rPr>
          <w:sz w:val="20"/>
          <w:szCs w:val="20"/>
          <w:color w:val="auto"/>
        </w:rPr>
      </w:pPr>
    </w:p>
    <w:p>
      <w:pPr>
        <w:jc w:val="both"/>
        <w:ind w:firstLine="1305"/>
        <w:spacing w:after="0" w:line="258" w:lineRule="auto"/>
        <w:tabs>
          <w:tab w:leader="none" w:pos="17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3"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6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does not warrant, nor accept responsibility, nor shall the Administrative Agent have any liability with respect to the rates in the definition of “LIBO Rate” or with respect to any comparable or successor rate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liability arising out of the bad faith, wilfull misconduct or negligence of the Administrative Agent.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herein, each Revolving Lender severally agrees to make Revolving Loans to the Borrowers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Borrowers may borrow, prepay and reborrow Revolving Loans.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73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7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2.13, each Borrowing shall be comprised entirely of Base Rate Loans or Eurocurrency Loans as the applicable Borrower may request in accordance herewith. Each Base Rate Loan shall only be made in Dollars. Each Swingline Loan shall be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21" w:right="239" w:bottom="1440" w:gutter="0" w:footer="0" w:header="0"/>
        </w:sectPr>
      </w:pPr>
    </w:p>
    <w:bookmarkStart w:id="194" w:name="page195"/>
    <w:bookmarkEnd w:id="19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Base Rate Loan. Each Lender at its option may make any Eurocurrency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76" w:lineRule="exact"/>
        <w:rPr>
          <w:sz w:val="20"/>
          <w:szCs w:val="20"/>
          <w:color w:val="auto"/>
        </w:rPr>
      </w:pPr>
    </w:p>
    <w:p>
      <w:pPr>
        <w:jc w:val="both"/>
        <w:ind w:firstLine="1305"/>
        <w:spacing w:after="0" w:line="255" w:lineRule="auto"/>
        <w:tabs>
          <w:tab w:leader="none" w:pos="170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Eurocurrency Loans and Base Rate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twenty (20) Eurocurrency Borrowings outstanding.</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68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would end after the applicable Revolving Credit Maturity Date.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a conversion of Loans from one Type to the other or a continuation of Eurocurrency Loans, the applicable Borrower shall irrevocably notify the Administrative Agent of such request by (A) telephone or (B) a written Borrowing Request in a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such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Business Days prior to the requested date of any Borrowing of, conversion to or continuation of Eurocurrency Loans denominated in Dollars or of any conversion of Eurocurrency Loans denominated in Dollars to Base Rate Loans, (ii) four Business Days (or five Business Days in the case of a Special Notice Currency) prior to the requested date of any Borrowing or continuation of Eurocurrency Loans denominated in Alternative Currencies, and (iii) on the requested date of any Borrowing of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Borrower wishes to request Eurocurrency Loans having an Interest Period other than one, two, three or six months in duration as provided in the definition of “Interest Period,” the applicable notice must be received by the Administrative Agent not later than noon (i) four Business Days prior to the requested date of such Borrowing, conversion or continuation of Eurocurrency Loans denominated in Dollars, or (ii) five Business Days (or six Business days in the case of a Special Notice Currency) prior to the requested date of such Borrowing, conversion or continuation of Eurocurrency Loans denominated in Alternative Currencies, whereupon the Administrative Agent shall give prompt notice to the applicable Lenders of such request and determine whether the requested Interest Period is acceptable to all of them. Not later than 11:00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21" w:right="239" w:bottom="1440" w:gutter="0" w:footer="0" w:header="0"/>
        </w:sectPr>
      </w:pPr>
    </w:p>
    <w:bookmarkStart w:id="195" w:name="page196"/>
    <w:bookmarkEnd w:id="195"/>
    <w:p>
      <w:pPr>
        <w:jc w:val="both"/>
        <w:spacing w:after="0" w:line="258" w:lineRule="auto"/>
        <w:rPr>
          <w:sz w:val="20"/>
          <w:szCs w:val="20"/>
          <w:color w:val="auto"/>
        </w:rPr>
      </w:pPr>
      <w:r>
        <w:rPr>
          <w:rFonts w:ascii="Times New Roman" w:cs="Times New Roman" w:eastAsia="Times New Roman" w:hAnsi="Times New Roman"/>
          <w:sz w:val="18"/>
          <w:szCs w:val="18"/>
          <w:color w:val="auto"/>
        </w:rPr>
        <w:t>a.m., (i) three Business Days before the requested date of such Borrowing, conversion or continuation of Eurocurrency Loans denominated in Dollars, or (ii) four Business Days (or five Business days in the case of a Special Notice Currency) prior to the requested date of such Borrowing, conversion or continuation of Eurocurrency Loans denominated in Alternative Currencies, the Administrative Agent shall notify the applicable Borrower (which notice may be by telephone) whether or not the requested Interest Period has been consented to by all the applicable Lenders. Each Borrowing Request shall specify the following information in compliance with Section 2.02:</w:t>
      </w:r>
    </w:p>
    <w:p>
      <w:pPr>
        <w:spacing w:after="0" w:line="184" w:lineRule="exact"/>
        <w:rPr>
          <w:sz w:val="20"/>
          <w:szCs w:val="20"/>
          <w:color w:val="auto"/>
        </w:rPr>
      </w:pPr>
    </w:p>
    <w:p>
      <w:pPr>
        <w:ind w:left="2300" w:hanging="347"/>
        <w:spacing w:after="0"/>
        <w:tabs>
          <w:tab w:leader="none" w:pos="2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on behalf of whom the Borrowing Request is being submitted;</w:t>
      </w:r>
    </w:p>
    <w:p>
      <w:pPr>
        <w:spacing w:after="0" w:line="225"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conversion or continuation;</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conversion or continuation, which shall be a Business Day;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conversion or continuation is to be a Base Rate Borrowing or a Eurocurrency Borrowing;</w:t>
      </w:r>
    </w:p>
    <w:p>
      <w:pPr>
        <w:spacing w:after="0" w:line="225"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in which such Borrowing is to be made, which shall be Dollars or an Alternative Currency;</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4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Eurocurrency Borrowing, the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auto"/>
        </w:rPr>
      </w:pPr>
    </w:p>
    <w:p>
      <w:pPr>
        <w:ind w:left="2460" w:hanging="507"/>
        <w:spacing w:after="0"/>
        <w:tabs>
          <w:tab w:leader="none" w:pos="2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applicable Borrower’s account to which funds are to be disbursed, which shall comply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Section 2.06;</w:t>
      </w:r>
    </w:p>
    <w:p>
      <w:pPr>
        <w:spacing w:after="0" w:line="206" w:lineRule="exact"/>
        <w:rPr>
          <w:rFonts w:ascii="Times New Roman" w:cs="Times New Roman" w:eastAsia="Times New Roman" w:hAnsi="Times New Roman"/>
          <w:sz w:val="18"/>
          <w:szCs w:val="18"/>
          <w:color w:val="auto"/>
        </w:rPr>
      </w:pPr>
    </w:p>
    <w:p>
      <w:pPr>
        <w:ind w:firstLine="1953"/>
        <w:spacing w:after="0" w:line="282" w:lineRule="auto"/>
        <w:tabs>
          <w:tab w:leader="none" w:pos="253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applicable Borrower is requesting a new Borrowing, a conversion of Loans from one Type to the other, or a continuation of Eurocurrency Loans; and</w:t>
      </w:r>
    </w:p>
    <w:p>
      <w:pPr>
        <w:spacing w:after="0" w:line="161"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Loans to be borrowed or to which existing Loans are to be converted.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in the case of a Borrowing denominated in Dollars to a Borrower, the requested Revolving Borrowing shall be a Base Rate Borrowing. In the case of a failure to timely request a conversion or continuation of Eurocurrency Loans, such Loans shall be continued as Eurocurrency Loans in their original currency with an Interest Period of one month’s duration. If no Interest Period is specified with respect to any requested Eurocurrency Borrowing or conversion or continuation of Eurocurrency Loans, then the applicable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21" w:right="239" w:bottom="1440" w:gutter="0" w:footer="0" w:header="0"/>
        </w:sectPr>
      </w:pPr>
    </w:p>
    <w:bookmarkStart w:id="196" w:name="page197"/>
    <w:bookmarkEnd w:id="196"/>
    <w:p>
      <w:pPr>
        <w:jc w:val="both"/>
        <w:spacing w:after="0" w:line="255" w:lineRule="auto"/>
        <w:rPr>
          <w:sz w:val="20"/>
          <w:szCs w:val="20"/>
          <w:color w:val="auto"/>
        </w:rPr>
      </w:pPr>
      <w:r>
        <w:rPr>
          <w:rFonts w:ascii="Times New Roman" w:cs="Times New Roman" w:eastAsia="Times New Roman" w:hAnsi="Times New Roman"/>
          <w:sz w:val="18"/>
          <w:szCs w:val="18"/>
          <w:color w:val="auto"/>
        </w:rPr>
        <w:t>Administrative Agent shall advise each Lender of the details thereof and of the amount (and currency) of such Lender’s Loan to be made as part of the requested Borrowing. Except as otherwise provided herein, a Eurocurrency Loan may be continued or converted only on the last day of an Interest Period for such Eurocurrency Loan. During the existence of a Default, no Loans may be requested as, converted to or continued as Eurocurrency Loans (whether in Dollars or any Alternative Currency) without the consent of the Required Lenders, and the Required Lenders may demand that any or all of the then outstanding Eurocurrency Loans denominated in an Alternative Currency be prepaid, or redenominated into Dollars in the amount of the Dollar Equivalent thereof, on the last day of the then current Interest Period with respect thereto. No Loan may be converted into or continued as a Loan denominated in a different currency, but instead must be prepaid in the original currency of such Loan and reborrowed in the other currency.</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6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in reliance upon the agreements of the other Lenders set forth in this Section 2.04, to make Swingline Loans in Dollars to the Borrowers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Swingline Loan shall be permitted if, after giving effect thereto, (i) the aggregate principal amount of outstanding Swingline Loans would exceed the Swingline Loan Sublimit or (ii) the aggregate Revolving Credit Exposures would exceed the total Revolving Commitments;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each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85"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Swingline Loan, the applicable Borrower shall notify the Administrative Agent and Swingline Lender of such request, which may be given by (A) telephone or (B) by a Swingline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 (i) the amount to be borrowed, which shall be a minimum of $100,000, (ii) the requested borrowing date, which shall be a Business Day, and (iii) the applicable Borrower that is submitting the Swingline Loan Notice.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Loan Borrowing (A) directing the Swingline Lender not to make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21" w:right="239" w:bottom="1440" w:gutter="0" w:footer="0" w:header="0"/>
        </w:sectPr>
      </w:pPr>
    </w:p>
    <w:bookmarkStart w:id="197" w:name="page198"/>
    <w:bookmarkEnd w:id="197"/>
    <w:p>
      <w:pPr>
        <w:jc w:val="both"/>
        <w:spacing w:after="0" w:line="261" w:lineRule="auto"/>
        <w:rPr>
          <w:sz w:val="20"/>
          <w:szCs w:val="20"/>
          <w:color w:val="auto"/>
        </w:rPr>
      </w:pPr>
      <w:r>
        <w:rPr>
          <w:rFonts w:ascii="Times New Roman" w:cs="Times New Roman" w:eastAsia="Times New Roman" w:hAnsi="Times New Roman"/>
          <w:sz w:val="18"/>
          <w:szCs w:val="18"/>
          <w:color w:val="auto"/>
        </w:rPr>
        <w:t>such Swingline Loan as a result of the limitations set forth in Section 2.04(a), or (B) that one or more of the applicable conditions specified in Article IV is not then satisfied, then, the Swingline Lender shall make such Swingline Loan available to the applicable Borrower by means of a credit to the general deposit account of such Borrower with the Swingline Lender (or, in the case of a Swingline Loan made to finance the reimbursement of an LC Disbursement as provided in Section 2.05(c), by remittance to the relevant Issuing Bank) by 3:00 p.m. on the requested date of such Swingline Loan.</w:t>
      </w:r>
    </w:p>
    <w:p>
      <w:pPr>
        <w:spacing w:after="0" w:line="180" w:lineRule="exact"/>
        <w:rPr>
          <w:sz w:val="20"/>
          <w:szCs w:val="20"/>
          <w:color w:val="auto"/>
        </w:rPr>
      </w:pPr>
    </w:p>
    <w:p>
      <w:pPr>
        <w:jc w:val="both"/>
        <w:ind w:firstLine="1305"/>
        <w:spacing w:after="0" w:line="253" w:lineRule="auto"/>
        <w:tabs>
          <w:tab w:leader="none" w:pos="170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Swingline Lender at any time in its sole and absolute discretion may request, on behalf of the applicable Borrower (each of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 conditions set forth in Section 4.02. The Swingline Lender shall furnish the applicable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applicable Borrower in such amount. The Administrative Agent shall remit the funds so received to the Swingline Lender.</w:t>
      </w:r>
    </w:p>
    <w:p>
      <w:pPr>
        <w:spacing w:after="0" w:line="192" w:lineRule="exact"/>
        <w:rPr>
          <w:rFonts w:ascii="Times New Roman" w:cs="Times New Roman" w:eastAsia="Times New Roman" w:hAnsi="Times New Roman"/>
          <w:sz w:val="18"/>
          <w:szCs w:val="18"/>
          <w:color w:val="auto"/>
        </w:rPr>
      </w:pPr>
    </w:p>
    <w:p>
      <w:pPr>
        <w:jc w:val="both"/>
        <w:ind w:firstLine="1953"/>
        <w:spacing w:after="0" w:line="253" w:lineRule="auto"/>
        <w:tabs>
          <w:tab w:leader="none" w:pos="235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621"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Revolving Lender (through the Administrative Agent) with respect to any amounts owing under this clause (ii) shall be conclusive absent manifest error.</w:t>
      </w:r>
    </w:p>
    <w:p>
      <w:pPr>
        <w:spacing w:after="0" w:line="225" w:lineRule="exact"/>
        <w:rPr>
          <w:sz w:val="20"/>
          <w:szCs w:val="20"/>
          <w:color w:val="auto"/>
        </w:rPr>
      </w:pPr>
    </w:p>
    <w:p>
      <w:pPr>
        <w:jc w:val="both"/>
        <w:ind w:firstLine="1953"/>
        <w:spacing w:after="0" w:line="257" w:lineRule="auto"/>
        <w:tabs>
          <w:tab w:leader="none" w:pos="2395"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any Borrower or any other Person for any reason whatsoever,</w:t>
      </w:r>
    </w:p>
    <w:p>
      <w:pPr>
        <w:spacing w:after="0" w:line="1" w:lineRule="exact"/>
        <w:rPr>
          <w:rFonts w:ascii="Times New Roman" w:cs="Times New Roman" w:eastAsia="Times New Roman" w:hAnsi="Times New Roman"/>
          <w:sz w:val="18"/>
          <w:szCs w:val="18"/>
          <w:color w:val="auto"/>
        </w:rPr>
      </w:pPr>
    </w:p>
    <w:p>
      <w:pPr>
        <w:jc w:val="both"/>
        <w:ind w:firstLine="8"/>
        <w:spacing w:after="0" w:line="254" w:lineRule="auto"/>
        <w:tabs>
          <w:tab w:leader="none" w:pos="30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Lender’s obligation to make Base Rate Loans pursuant to this Section 2.04(c) is subject to the conditions set forth in Section 4.02. No such funding of risk participations shall relieve or otherwise impair the obligation of each Borrower to repay Swingline Loans, together with interest as provided herein.</w:t>
      </w:r>
    </w:p>
    <w:p>
      <w:pPr>
        <w:spacing w:after="0" w:line="18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176" w:lineRule="exact"/>
        <w:rPr>
          <w:rFonts w:ascii="Times New Roman" w:cs="Times New Roman" w:eastAsia="Times New Roman" w:hAnsi="Times New Roman"/>
          <w:sz w:val="18"/>
          <w:szCs w:val="18"/>
          <w:color w:val="auto"/>
        </w:rPr>
      </w:pPr>
    </w:p>
    <w:p>
      <w:pPr>
        <w:jc w:val="both"/>
        <w:ind w:firstLine="1953"/>
        <w:spacing w:after="0" w:line="256" w:lineRule="auto"/>
        <w:tabs>
          <w:tab w:leader="none" w:pos="237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Swingline Lender. The obligations of the Revolving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6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shall be responsible for invoicing the applicable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Borrower shall make all payments of principal and interest in respect of its Swingline Loans directly to the Swingline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5"/>
        <w:spacing w:after="0"/>
        <w:tabs>
          <w:tab w:leader="none" w:pos="1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3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(A) each Issuing Bank agrees, in reliance upon the agreements of the Revolving Lenders set forth in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21" w:right="239" w:bottom="1440" w:gutter="0" w:footer="0" w:header="0"/>
        </w:sectPr>
      </w:pPr>
    </w:p>
    <w:bookmarkStart w:id="199" w:name="page200"/>
    <w:bookmarkEnd w:id="19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2.05, (1) from time to time on any Business Day during the period from the Closing Date until the Letter of Credit Expiration Date, to issue Letters of Credit denominated in Dollars or in one or more Alternative Currencies for the account of the Borrowers or their Subsidiaries (or, following the consummation of the Specified Acquisition Transaction, if New Mylan is not a Borrower, New Mylan and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Borrowers or their Subsidiaries (or, following the consummation of the Specified Acquisition Transaction, if New Mylan is not a Borrower, New Mylan and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aggregate LC Exposure shall not exceed the LC Exposure Sublimit and (y) the total Revolving Credit Exposures shall not exceed the total Revolving Commitments.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each Borrower’s ability to obtain Letters of Credit shall be fully revolving, and accordingly each Borrower may, during the foregoing period, obtain 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189" w:lineRule="exact"/>
        <w:rPr>
          <w:sz w:val="20"/>
          <w:szCs w:val="20"/>
          <w:color w:val="auto"/>
        </w:rPr>
      </w:pPr>
    </w:p>
    <w:p>
      <w:pPr>
        <w:jc w:val="both"/>
        <w:ind w:firstLine="1953"/>
        <w:spacing w:after="0" w:line="256" w:lineRule="auto"/>
        <w:tabs>
          <w:tab w:leader="none" w:pos="241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 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Borrowers shall immediately Cash Collateralize the then Outstanding Amount of all LC Exposure in accordance with Section 2.05(g)).</w:t>
      </w:r>
    </w:p>
    <w:p>
      <w:pPr>
        <w:spacing w:after="0" w:line="187"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1300" w:firstLine="1301"/>
        <w:spacing w:after="0" w:line="256" w:lineRule="auto"/>
        <w:tabs>
          <w:tab w:leader="none" w:pos="307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21" w:right="239" w:bottom="1440" w:gutter="0" w:footer="0" w:header="0"/>
        </w:sectPr>
      </w:pPr>
    </w:p>
    <w:bookmarkStart w:id="200" w:name="page201"/>
    <w:bookmarkEnd w:id="200"/>
    <w:p>
      <w:pPr>
        <w:ind w:left="1300"/>
        <w:spacing w:after="0" w:line="282" w:lineRule="auto"/>
        <w:rPr>
          <w:sz w:val="20"/>
          <w:szCs w:val="20"/>
          <w:color w:val="auto"/>
        </w:rPr>
      </w:pPr>
      <w:r>
        <w:rPr>
          <w:rFonts w:ascii="Times New Roman" w:cs="Times New Roman" w:eastAsia="Times New Roman" w:hAnsi="Times New Roman"/>
          <w:sz w:val="18"/>
          <w:szCs w:val="18"/>
          <w:color w:val="auto"/>
        </w:rPr>
        <w:t>hereunder) not in effect on the Closing Date, or shall impose upon such Issuing Bank any unreimbursed loss, cost or expense which was not applicable on the Closing Date and which such Issuing Bank in good faith deems material to it;</w:t>
      </w:r>
    </w:p>
    <w:p>
      <w:pPr>
        <w:spacing w:after="0" w:line="162" w:lineRule="exact"/>
        <w:rPr>
          <w:sz w:val="20"/>
          <w:szCs w:val="20"/>
          <w:color w:val="auto"/>
        </w:rPr>
      </w:pPr>
    </w:p>
    <w:p>
      <w:pPr>
        <w:ind w:left="3020" w:hanging="419"/>
        <w:spacing w:after="0"/>
        <w:tabs>
          <w:tab w:leader="none" w:pos="3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credit generally;</w:t>
      </w:r>
    </w:p>
    <w:p>
      <w:pPr>
        <w:spacing w:after="0" w:line="207" w:lineRule="exact"/>
        <w:rPr>
          <w:sz w:val="20"/>
          <w:szCs w:val="20"/>
          <w:color w:val="auto"/>
        </w:rPr>
      </w:pPr>
    </w:p>
    <w:p>
      <w:pPr>
        <w:ind w:left="1300" w:firstLine="1301"/>
        <w:spacing w:after="0" w:line="282" w:lineRule="auto"/>
        <w:tabs>
          <w:tab w:leader="none" w:pos="303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in an initial stated amount less than $100,000, in the case of a commercial Letter of Credit, or $500,000, in the case of a standby Letter of Credit;</w:t>
      </w:r>
    </w:p>
    <w:p>
      <w:pPr>
        <w:spacing w:after="0" w:line="161" w:lineRule="exact"/>
        <w:rPr>
          <w:rFonts w:ascii="Times New Roman" w:cs="Times New Roman" w:eastAsia="Times New Roman" w:hAnsi="Times New Roman"/>
          <w:sz w:val="18"/>
          <w:szCs w:val="18"/>
          <w:color w:val="auto"/>
        </w:rPr>
      </w:pPr>
    </w:p>
    <w:p>
      <w:pPr>
        <w:ind w:left="1300" w:firstLine="1301"/>
        <w:spacing w:after="0" w:line="282" w:lineRule="auto"/>
        <w:tabs>
          <w:tab w:leader="none" w:pos="312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to be denominated in a currency other than Dollars or an Alternative Currency;</w:t>
      </w:r>
    </w:p>
    <w:p>
      <w:pPr>
        <w:spacing w:after="0" w:line="161" w:lineRule="exact"/>
        <w:rPr>
          <w:rFonts w:ascii="Times New Roman" w:cs="Times New Roman" w:eastAsia="Times New Roman" w:hAnsi="Times New Roman"/>
          <w:sz w:val="18"/>
          <w:szCs w:val="18"/>
          <w:color w:val="auto"/>
        </w:rPr>
      </w:pPr>
    </w:p>
    <w:p>
      <w:pPr>
        <w:ind w:left="3060" w:hanging="459"/>
        <w:spacing w:after="0"/>
        <w:tabs>
          <w:tab w:leader="none" w:pos="3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 does not as of the issuance date of such requested Letter of Credit issue Letters of Credit in the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currency;</w:t>
      </w:r>
    </w:p>
    <w:p>
      <w:pPr>
        <w:spacing w:after="0" w:line="206" w:lineRule="exact"/>
        <w:rPr>
          <w:rFonts w:ascii="Times New Roman" w:cs="Times New Roman" w:eastAsia="Times New Roman" w:hAnsi="Times New Roman"/>
          <w:sz w:val="18"/>
          <w:szCs w:val="18"/>
          <w:color w:val="auto"/>
        </w:rPr>
      </w:pPr>
    </w:p>
    <w:p>
      <w:pPr>
        <w:ind w:left="3060" w:hanging="459"/>
        <w:spacing w:after="0"/>
        <w:tabs>
          <w:tab w:leader="none" w:pos="3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 or</w:t>
      </w:r>
    </w:p>
    <w:p>
      <w:pPr>
        <w:spacing w:after="0" w:line="206" w:lineRule="exact"/>
        <w:rPr>
          <w:rFonts w:ascii="Times New Roman" w:cs="Times New Roman" w:eastAsia="Times New Roman" w:hAnsi="Times New Roman"/>
          <w:sz w:val="18"/>
          <w:szCs w:val="18"/>
          <w:color w:val="auto"/>
        </w:rPr>
      </w:pPr>
    </w:p>
    <w:p>
      <w:pPr>
        <w:jc w:val="both"/>
        <w:ind w:left="1300" w:firstLine="1301"/>
        <w:spacing w:after="0" w:line="261" w:lineRule="auto"/>
        <w:tabs>
          <w:tab w:leader="none" w:pos="305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of any Revolving Lender’s obligations to fund under Section 2.05(c) exists or any Revolving Lender is at such time a Defaulting Lender hereunder, unless such Issuing Bank has entered into satisfactory arrangements (in the Issuing Bank’s sole and absolute discretion) with the Borrowers or such Revolving Lender to eliminate the Issuing Bank’s risk with respect to such Revolving Lender.</w:t>
      </w:r>
    </w:p>
    <w:p>
      <w:pPr>
        <w:spacing w:after="0" w:line="180" w:lineRule="exact"/>
        <w:rPr>
          <w:rFonts w:ascii="Times New Roman" w:cs="Times New Roman" w:eastAsia="Times New Roman" w:hAnsi="Times New Roman"/>
          <w:sz w:val="18"/>
          <w:szCs w:val="18"/>
          <w:color w:val="auto"/>
        </w:rPr>
      </w:pPr>
    </w:p>
    <w:p>
      <w:pPr>
        <w:ind w:right="20" w:firstLine="1953"/>
        <w:spacing w:after="0" w:line="282" w:lineRule="auto"/>
        <w:tabs>
          <w:tab w:leader="none" w:pos="24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amend any Letter of Credit if the Issuing Bank would not be permitted at such time to issue such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3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76"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21" w:right="239" w:bottom="1440" w:gutter="0" w:footer="0" w:header="0"/>
        </w:sectPr>
      </w:pPr>
    </w:p>
    <w:bookmarkStart w:id="201" w:name="page202"/>
    <w:bookmarkEnd w:id="201"/>
    <w:p>
      <w:pPr>
        <w:ind w:left="1700" w:hanging="395"/>
        <w:spacing w:after="0"/>
        <w:tabs>
          <w:tab w:leader="none" w:pos="1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2" w:lineRule="auto"/>
        <w:tabs>
          <w:tab w:leader="none" w:pos="2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applicable Borrower delivered to the applicable Issuing Bank (with a copy to the Administrative Agent) in the form of a Letter of Credit Application, appropriately completed and signed by a Responsible Officer of the applicable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the applicable Issuing Bank may require. Additionally, the applicable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198" w:lineRule="exact"/>
        <w:rPr>
          <w:rFonts w:ascii="Times New Roman" w:cs="Times New Roman" w:eastAsia="Times New Roman" w:hAnsi="Times New Roman"/>
          <w:sz w:val="18"/>
          <w:szCs w:val="18"/>
          <w:color w:val="auto"/>
        </w:rPr>
      </w:pPr>
    </w:p>
    <w:p>
      <w:pPr>
        <w:jc w:val="both"/>
        <w:ind w:firstLine="1953"/>
        <w:spacing w:after="0" w:line="254" w:lineRule="auto"/>
        <w:tabs>
          <w:tab w:leader="none" w:pos="237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Issuing Bank will confirm with the Administrative Agent (by telephone or in writing) that the Administrative Agent has received a copy of such Letter of Credit Application from the applicable Borrower and, if not, such Issuing Bank will provide the Administrative Agent with a 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applicable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pacing w:after="0" w:line="186" w:lineRule="exact"/>
        <w:rPr>
          <w:rFonts w:ascii="Times New Roman" w:cs="Times New Roman" w:eastAsia="Times New Roman" w:hAnsi="Times New Roman"/>
          <w:sz w:val="18"/>
          <w:szCs w:val="18"/>
          <w:color w:val="auto"/>
        </w:rPr>
      </w:pPr>
    </w:p>
    <w:p>
      <w:pPr>
        <w:ind w:firstLine="1953"/>
        <w:spacing w:after="0" w:line="282" w:lineRule="auto"/>
        <w:tabs>
          <w:tab w:leader="none" w:pos="2453"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so requests in any applicable Letter of Credit Application, the applicable Issuing Bank may, in its sole and absolute discretion, agree to issue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621" w:right="239" w:bottom="1440" w:gutter="0" w:footer="0" w:header="0"/>
        </w:sectPr>
      </w:pPr>
    </w:p>
    <w:bookmarkStart w:id="202" w:name="page203"/>
    <w:bookmarkEnd w:id="202"/>
    <w:p>
      <w:pPr>
        <w:jc w:val="both"/>
        <w:spacing w:after="0" w:line="218" w:lineRule="exact"/>
        <w:rPr>
          <w:sz w:val="20"/>
          <w:szCs w:val="20"/>
          <w:color w:val="auto"/>
        </w:rPr>
      </w:pPr>
      <w:r>
        <w:rPr>
          <w:rFonts w:ascii="Times New Roman" w:cs="Times New Roman" w:eastAsia="Times New Roman" w:hAnsi="Times New Roman"/>
          <w:sz w:val="18"/>
          <w:szCs w:val="18"/>
          <w:color w:val="auto"/>
        </w:rPr>
        <w:t>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in each such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month period to be agreed upon at the time such Letter of Credit is issued. Unless otherwise directed by the applicable Issuing Bank, no Borrower shall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or any Revolving Lender or any Borrower that one or more of the applicable conditions specified in Section 4.02 is not then satisfied, and in each such case directing such Issuing Bank not to permit such extension.</w:t>
      </w:r>
    </w:p>
    <w:p>
      <w:pPr>
        <w:spacing w:after="0" w:line="201" w:lineRule="exact"/>
        <w:rPr>
          <w:sz w:val="20"/>
          <w:szCs w:val="20"/>
          <w:color w:val="auto"/>
        </w:rPr>
      </w:pPr>
    </w:p>
    <w:p>
      <w:pPr>
        <w:jc w:val="both"/>
        <w:ind w:firstLine="1953"/>
        <w:spacing w:after="0" w:line="266" w:lineRule="auto"/>
        <w:tabs>
          <w:tab w:leader="none" w:pos="24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Issuing Bank will also deliver to the applicable Borrower and the Administrative Agent a true and complete copy of such Letter of Credit or amendment.</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3" w:lineRule="auto"/>
        <w:tabs>
          <w:tab w:leader="none" w:pos="241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Issuing Bank shall notify the applicable Borrower and the Administrative Agent thereof. In the case of a Letter of Credit denominated in an Alternative Currency, the applicable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applicable Borrower shall have notified such Issuing Bank promptly following receipt of the notice of drawing that such Borrower will reimburse such Issuing Bank in Dollars. In the case of any such reimbursement in Dollars of a drawing under a Letter of Credit denominated in an Alternative Currency, the applicable Issuing Bank shall notify the applicable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applicable Borrower 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21" w:right="239" w:bottom="1440" w:gutter="0" w:footer="0" w:header="0"/>
        </w:sectPr>
      </w:pPr>
    </w:p>
    <w:bookmarkStart w:id="203" w:name="page204"/>
    <w:bookmarkEnd w:id="203"/>
    <w:p>
      <w:pPr>
        <w:jc w:val="both"/>
        <w:spacing w:after="0" w:line="253" w:lineRule="auto"/>
        <w:rPr>
          <w:sz w:val="20"/>
          <w:szCs w:val="20"/>
          <w:color w:val="auto"/>
        </w:rPr>
      </w:pPr>
      <w:r>
        <w:rPr>
          <w:rFonts w:ascii="Times New Roman" w:cs="Times New Roman" w:eastAsia="Times New Roman" w:hAnsi="Times New Roman"/>
          <w:sz w:val="18"/>
          <w:szCs w:val="18"/>
          <w:color w:val="auto"/>
        </w:rPr>
        <w:t>Dollar amount paid by the applicable Borrower on the date of payment by such Borrower (whether on or after the Honor Date) shall not be adequate on the date of such payment to purchase in accordance with normal banking procedures a sum denominated in the Alternative Currency equal to the drawing, the applicable Borrower agrees, as a separate and independent obligation, to indemnify the applicable Issuing Bank for the loss resulting from its inability on that date to purchase the Alternative Currency in the full amount of the drawing. If the applicable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Lender’s Applicable Percentage thereof. In such event, the applicable Borrower shall be deemed to have requested a Revolving Credit Borrowing of Base Rate Loans to be disbursed on the Business Day following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4.02 (other than the delivery of a Borrowing Request). Any notice given by the applicable Issuing Bank or the Administrative Agent pursuant to this Section 2.05(c)(i)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1" w:lineRule="exact"/>
        <w:rPr>
          <w:sz w:val="20"/>
          <w:szCs w:val="20"/>
          <w:color w:val="auto"/>
        </w:rPr>
      </w:pPr>
    </w:p>
    <w:p>
      <w:pPr>
        <w:jc w:val="both"/>
        <w:ind w:firstLine="1953"/>
        <w:spacing w:after="0" w:line="258" w:lineRule="auto"/>
        <w:tabs>
          <w:tab w:leader="none" w:pos="243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applicable Borrower in such amount. The Administrative Agent shall remit the funds so received to the applicable Issuing Bank in Dollars.</w:t>
      </w:r>
    </w:p>
    <w:p>
      <w:pPr>
        <w:spacing w:after="0" w:line="183" w:lineRule="exact"/>
        <w:rPr>
          <w:rFonts w:ascii="Times New Roman" w:cs="Times New Roman" w:eastAsia="Times New Roman" w:hAnsi="Times New Roman"/>
          <w:sz w:val="18"/>
          <w:szCs w:val="18"/>
          <w:color w:val="auto"/>
        </w:rPr>
      </w:pPr>
    </w:p>
    <w:p>
      <w:pPr>
        <w:jc w:val="both"/>
        <w:ind w:firstLine="1953"/>
        <w:spacing w:after="0" w:line="255" w:lineRule="auto"/>
        <w:tabs>
          <w:tab w:leader="none" w:pos="2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drawing under any Letter of Credit is not reimbursed on the date of drawing, the Dollar Equivalent of the amount of such drawing shall accrue interest at the rate applicable to Base Rate Revolving Loans; provided that with respect to any Unreimbursed Amount in respect of a Letter of Credit that is not fully refinanced by a Revolving Borrowing of Base Rate Loans because the conditions set forth in Section 4.02 cannot be satisfied or for any other reason, the applicable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21" w:right="239" w:bottom="1440" w:gutter="0" w:footer="0" w:header="0"/>
        </w:sectPr>
      </w:pPr>
    </w:p>
    <w:bookmarkStart w:id="204" w:name="page205"/>
    <w:bookmarkEnd w:id="204"/>
    <w:p>
      <w:pPr>
        <w:jc w:val="both"/>
        <w:ind w:firstLine="1953"/>
        <w:spacing w:after="0" w:line="266" w:lineRule="auto"/>
        <w:tabs>
          <w:tab w:leader="none" w:pos="245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pacing w:after="0" w:line="176" w:lineRule="exact"/>
        <w:rPr>
          <w:rFonts w:ascii="Times New Roman" w:cs="Times New Roman" w:eastAsia="Times New Roman" w:hAnsi="Times New Roman"/>
          <w:sz w:val="18"/>
          <w:szCs w:val="18"/>
          <w:color w:val="auto"/>
        </w:rPr>
      </w:pPr>
    </w:p>
    <w:p>
      <w:pPr>
        <w:jc w:val="both"/>
        <w:ind w:firstLine="1953"/>
        <w:spacing w:after="0" w:line="255" w:lineRule="auto"/>
        <w:tabs>
          <w:tab w:leader="none" w:pos="234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any Borrower,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Lender’s obligation to make Revolving Loans pursuant to this Section 2.05(c) is subject to the conditions set forth in Section 4.02 (other than delivery by the applicable Borrower of a Borrowing Request). No such making of an L/C Advance shall relieve or otherwise impair the obligation of the applicable Borrower to reimburse an Issuing Bank for the amount of any payment made by such Issuing Bank under any Letter of Credit, together with interest as provided herein.</w:t>
      </w:r>
    </w:p>
    <w:p>
      <w:pPr>
        <w:spacing w:after="0" w:line="185" w:lineRule="exact"/>
        <w:rPr>
          <w:rFonts w:ascii="Times New Roman" w:cs="Times New Roman" w:eastAsia="Times New Roman" w:hAnsi="Times New Roman"/>
          <w:sz w:val="18"/>
          <w:szCs w:val="18"/>
          <w:color w:val="auto"/>
        </w:rPr>
      </w:pPr>
    </w:p>
    <w:p>
      <w:pPr>
        <w:jc w:val="both"/>
        <w:ind w:firstLine="1953"/>
        <w:spacing w:after="0" w:line="254" w:lineRule="auto"/>
        <w:tabs>
          <w:tab w:leader="none" w:pos="240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Lender fails to make available to the Administrative Agent for the account of an Issuing Bank any amount required to be paid by such Revolving Lender pursuant to the foregoing provisions of this Section 2.05(c) by the time specified in Section 2.05(c)(ii),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the Issuing Bank in connection with the foregoing. If such Revolving Lender pays such amount (with interest and fees as aforesaid), the amount so paid shall constitute such Revolving Lender’s Revolving Loan included in the relevant Borrowing or L/C Advance in respect of the relevant L/C Borrowing, as the case may be. A certificate of an Issuing Bank submitted to any Lender (through the Administrative Agent) with respect to any amounts owing under this clause (vi) shall be conclusive absent manifest error.</w:t>
      </w:r>
    </w:p>
    <w:p>
      <w:pPr>
        <w:spacing w:after="0" w:line="18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8" w:lineRule="auto"/>
        <w:tabs>
          <w:tab w:leader="none" w:pos="236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 respect of the related Unreimbursed Amount or interest thereon (whether directly from the applicable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21" w:right="239" w:bottom="1440" w:gutter="0" w:footer="0" w:header="0"/>
        </w:sectPr>
      </w:pPr>
    </w:p>
    <w:bookmarkStart w:id="205" w:name="page206"/>
    <w:bookmarkEnd w:id="205"/>
    <w:p>
      <w:pPr>
        <w:jc w:val="both"/>
        <w:ind w:firstLine="1953"/>
        <w:spacing w:after="0" w:line="256" w:lineRule="auto"/>
        <w:tabs>
          <w:tab w:leader="none" w:pos="240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an Issuing Bank pursuant to Section 2.05(c)(i)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1305"/>
        <w:spacing w:after="0" w:line="252" w:lineRule="auto"/>
        <w:tabs>
          <w:tab w:leader="none" w:pos="170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applicable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any Borrower or any Subsidiary may have at any time against any beneficiary or any transferee of such Letter of Credit (or any Person for whom any such beneficiary or any such transferee may be acting), the applicable Issuing Bank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the Issuing Bank’s protection and not the protection of any Loan Party or any Subsidiary or any waiver by the Issuing Bank which does not in fact materially prejudice the Company;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any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any Borrower or any Subsidiary. The applicable Borrower shall promptly examine a copy of each Letter of Credit and each amendment thereto that is delivered to it and, in the event of any claim of noncompliance with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21" w:right="239" w:bottom="1440" w:gutter="0" w:footer="0" w:header="0"/>
        </w:sectPr>
      </w:pPr>
    </w:p>
    <w:bookmarkStart w:id="206" w:name="page207"/>
    <w:bookmarkEnd w:id="206"/>
    <w:p>
      <w:pPr>
        <w:spacing w:after="0" w:line="282" w:lineRule="auto"/>
        <w:rPr>
          <w:sz w:val="20"/>
          <w:szCs w:val="20"/>
          <w:color w:val="auto"/>
        </w:rPr>
      </w:pPr>
      <w:r>
        <w:rPr>
          <w:rFonts w:ascii="Times New Roman" w:cs="Times New Roman" w:eastAsia="Times New Roman" w:hAnsi="Times New Roman"/>
          <w:sz w:val="18"/>
          <w:szCs w:val="18"/>
          <w:color w:val="auto"/>
        </w:rPr>
        <w:t>such Borrower’s instructions or other irregularity, such Borrower will promptly notify the applicable Issuing Bank. Each applicable Borrower shall be conclusively deemed to have waived any such claim against the applicable Issuing Bank and its correspondents unless such notice is given as aforesaid.</w:t>
      </w:r>
    </w:p>
    <w:p>
      <w:pPr>
        <w:spacing w:after="0" w:line="162" w:lineRule="exact"/>
        <w:rPr>
          <w:sz w:val="20"/>
          <w:szCs w:val="20"/>
          <w:color w:val="auto"/>
        </w:rPr>
      </w:pPr>
    </w:p>
    <w:p>
      <w:pPr>
        <w:jc w:val="both"/>
        <w:ind w:firstLine="1305"/>
        <w:spacing w:after="0" w:line="252" w:lineRule="auto"/>
        <w:tabs>
          <w:tab w:leader="none" w:pos="169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Issuing Banks</w:t>
      </w:r>
      <w:r>
        <w:rPr>
          <w:rFonts w:ascii="Times New Roman" w:cs="Times New Roman" w:eastAsia="Times New Roman" w:hAnsi="Times New Roman"/>
          <w:sz w:val="18"/>
          <w:szCs w:val="18"/>
          <w:color w:val="auto"/>
        </w:rPr>
        <w:t xml:space="preserve">. Each Revolving Lender and each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any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(ix) of Section 2.05(e);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a Borrower may have a claim against any Issuing Bank, and such Issuing Bank may be liable to a Borrower, to the extent, but only to the extent, of any direct, as opposed to consequential or exemplary, damages suffered by such Borrower which such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8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66" w:lineRule="auto"/>
        <w:tabs>
          <w:tab w:leader="none" w:pos="2319"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each Borrower shall, in each case,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21"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immediately Cash Collateralize the then Outstanding Amount of all LC Exposure attributable to the Letters of Credit issued for the benefit of such Borrower.</w:t>
      </w:r>
    </w:p>
    <w:p>
      <w:pPr>
        <w:spacing w:after="0" w:line="225" w:lineRule="exact"/>
        <w:rPr>
          <w:sz w:val="20"/>
          <w:szCs w:val="20"/>
          <w:color w:val="auto"/>
        </w:rPr>
      </w:pPr>
    </w:p>
    <w:p>
      <w:pPr>
        <w:jc w:val="both"/>
        <w:ind w:firstLine="1953"/>
        <w:spacing w:after="0" w:line="261" w:lineRule="auto"/>
        <w:tabs>
          <w:tab w:leader="none" w:pos="237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the Administrative Agent notifies the Company at any time that the LC Exposure at such time exceeds 105% of the LC Exposure Sublimit then in effect, then, within two Business Days (or such later time as the Administrative Agent may agree in its sole discretion) after receipt of such notice, the Borrowers shall Cash Collateralize the LC Exposure in an amount equal to the amount by which the LC Exposure exceeds the LC Exposure Sublimit.</w:t>
      </w:r>
    </w:p>
    <w:p>
      <w:pPr>
        <w:spacing w:after="0" w:line="180" w:lineRule="exact"/>
        <w:rPr>
          <w:rFonts w:ascii="Times New Roman" w:cs="Times New Roman" w:eastAsia="Times New Roman" w:hAnsi="Times New Roman"/>
          <w:sz w:val="18"/>
          <w:szCs w:val="18"/>
          <w:color w:val="auto"/>
        </w:rPr>
      </w:pPr>
    </w:p>
    <w:p>
      <w:pPr>
        <w:ind w:right="20" w:firstLine="1953"/>
        <w:spacing w:after="0" w:line="282" w:lineRule="auto"/>
        <w:tabs>
          <w:tab w:leader="none" w:pos="244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161" w:lineRule="exact"/>
        <w:rPr>
          <w:rFonts w:ascii="Times New Roman" w:cs="Times New Roman" w:eastAsia="Times New Roman" w:hAnsi="Times New Roman"/>
          <w:sz w:val="18"/>
          <w:szCs w:val="18"/>
          <w:color w:val="auto"/>
        </w:rPr>
      </w:pPr>
    </w:p>
    <w:p>
      <w:pPr>
        <w:ind w:right="20" w:firstLine="1953"/>
        <w:spacing w:after="0" w:line="282" w:lineRule="auto"/>
        <w:tabs>
          <w:tab w:leader="none" w:pos="248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Event of Default, upon the request of the Required Lenders, the Borrowers shall immediately Cash Collateralize the then LC Exposure of all Revolving Lenders.</w:t>
      </w:r>
    </w:p>
    <w:p>
      <w:pPr>
        <w:spacing w:after="0" w:line="161"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2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Issuing Bank and the Borrowers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Borrowers for, and each Issuing Bank’s rights and remedies against the Borrowers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 to any Letter of Credit or this Agreement, including the Law or any order of a jurisdiction where the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2"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shall control.</w:t>
      </w:r>
    </w:p>
    <w:p>
      <w:pPr>
        <w:spacing w:after="0" w:line="20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7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Borrowers shall be obligated to reimburse the applicable Issuing Bank hereunder for any and all drawings under such Letter of Credit. Each Borrower hereby acknowledges that the issuance of Letters of Credit for the account of Subsidiaries inures to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21"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color w:val="auto"/>
        </w:rPr>
        <w:t>benefit of such Borrower, and that such Borrower’s business derives substantial benefits from the businesses of such Subsidiaries.</w:t>
      </w:r>
    </w:p>
    <w:p>
      <w:pPr>
        <w:spacing w:after="0" w:line="225" w:lineRule="exact"/>
        <w:rPr>
          <w:sz w:val="20"/>
          <w:szCs w:val="20"/>
          <w:color w:val="auto"/>
        </w:rPr>
      </w:pPr>
    </w:p>
    <w:p>
      <w:pPr>
        <w:jc w:val="both"/>
        <w:ind w:firstLine="1305"/>
        <w:spacing w:after="0" w:line="253" w:lineRule="auto"/>
        <w:tabs>
          <w:tab w:leader="none" w:pos="17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Lenders’ Obligations</w:t>
      </w:r>
      <w:r>
        <w:rPr>
          <w:rFonts w:ascii="Times New Roman" w:cs="Times New Roman" w:eastAsia="Times New Roman" w:hAnsi="Times New Roman"/>
          <w:sz w:val="18"/>
          <w:szCs w:val="18"/>
          <w:color w:val="auto"/>
        </w:rPr>
        <w:t xml:space="preserve">. Notwithstanding anything to the contrary contained herein or in any other Loan Document, in the event that (i) an Issuing Bank shall have issued, in accordance with Section 2.05(a)(ii)(B), a Letter of Credit with an expiry date occurring after the Letter of Credit Expiration Date and (ii) the Borrowers shall have Cash Collateralized the Outstanding Amount of all such LC Exposure in respect of such Letter of Credit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obligations of each Lender hereunder to the applicable Issuing Bank in respect of such Letter of Credit shall be revived if any Cash Collateral provided by the Borrowers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4" w:lineRule="auto"/>
        <w:tabs>
          <w:tab w:leader="none" w:pos="1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(i) 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Administrative Agent will make such Loans available to the applicable Borrower by promptly crediting the amounts so received, in like funds, to (x) an account designated by the applicable Borrower in the applicable Borrowing Request, in the case of Loans denominated in Dollars and (y) an account of the applicable Borrower in the relevant jurisdiction and designated by such Borrower in the applicable Borrowing Request, in the case of Loans denominated in an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Base Rate Revolving Loans made to finance the reimbursement of an LC Disbursement as provided in Section 2.05(c) shall be remitted by the Administrative Agent to the relevant Issuing Bank.</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6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21" w:right="239" w:bottom="1440" w:gutter="0" w:footer="0" w:header="0"/>
        </w:sectPr>
      </w:pPr>
    </w:p>
    <w:bookmarkStart w:id="209" w:name="page210"/>
    <w:bookmarkEnd w:id="209"/>
    <w:p>
      <w:pPr>
        <w:jc w:val="both"/>
        <w:spacing w:after="0" w:line="256" w:lineRule="auto"/>
        <w:rPr>
          <w:sz w:val="20"/>
          <w:szCs w:val="20"/>
          <w:color w:val="auto"/>
        </w:rPr>
      </w:pPr>
      <w:r>
        <w:rPr>
          <w:rFonts w:ascii="Times New Roman" w:cs="Times New Roman" w:eastAsia="Times New Roman" w:hAnsi="Times New Roman"/>
          <w:sz w:val="18"/>
          <w:szCs w:val="18"/>
          <w:color w:val="auto"/>
        </w:rPr>
        <w:t>share of the applicable Borrowing available to the Administrative Agent, then the applicable Lender and the applicable Borrower agrees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Overnight Rate plus any administrative, processing or similar fees customarily charged by the Administrative Agent in connection with the foregoing or (ii) in the case of a Borrower, the interest rate applicable to Base Rate Loans. If such Lender pays such amount to the Administrative Agent, then such amount shall constitute such Lender’s Loan included in such Borrowing.</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Market Disruption</w:t>
      </w:r>
      <w:r>
        <w:rPr>
          <w:rFonts w:ascii="Times New Roman" w:cs="Times New Roman" w:eastAsia="Times New Roman" w:hAnsi="Times New Roman"/>
          <w:sz w:val="18"/>
          <w:szCs w:val="18"/>
          <w:color w:val="auto"/>
        </w:rPr>
        <w:t>. Notwithstanding the satisfaction of all conditions referred to in Article II 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Eurocurrency Borrowings or Letters of Credit comprising such Credit Event to be denominated in the Alternative Currency specified by the applicable Borrower or (ii) the Dollar Equivalent of such currency is not readily calculable, then the Administrative Agent shall forthwith give notice thereof to the applicable Borrower, the Lenders and, if such Credit Event is a Letter of Credit, the relevant Issuing Bank, and such Credit Events shall not be denominated in such Alternative Currency but shall, except as otherwise set forth in Section 2.06, be made on the date of such Credit Event in Dollars, (a) if such Credit Event is a Borrowing, in an aggregate principal amount equal to the Dollar Equivalent of the aggregate principal amount specified in the related Borrowing Request or Interest Election Request, as the case may be, unless the applicable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 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applicable Borrower notifies the Administrative Agent at least one (1) Business Day before such date that (i) it elects not to request the issuance of such 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40" w:hanging="435"/>
        <w:spacing w:after="0"/>
        <w:tabs>
          <w:tab w:leader="none" w:pos="17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all Revolving Commitments of any Class shall terminate on the Revolving Credit Maturity Date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such Class.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621" w:right="239" w:bottom="1440" w:gutter="0" w:footer="0" w:header="0"/>
        </w:sectPr>
      </w:pPr>
    </w:p>
    <w:bookmarkStart w:id="210" w:name="page211"/>
    <w:bookmarkEnd w:id="210"/>
    <w:p>
      <w:pPr>
        <w:jc w:val="both"/>
        <w:ind w:firstLine="1305"/>
        <w:spacing w:after="0" w:line="261" w:lineRule="auto"/>
        <w:tabs>
          <w:tab w:leader="none" w:pos="16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at any time terminate, or from time to time reduce,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$1,000,000 and not less than $1,000,000, (or, if less, the remaining amount of the Revolving Commitments), (ii) the Borrowers shall not terminate or reduce the Revolving Commitments if, after giving effect to any concurrent prepayment of the Loans in accordance with Section 2.10, the total Revolving Credit Exposures would exceed the total Revolving Commitments.</w:t>
      </w:r>
    </w:p>
    <w:p>
      <w:pPr>
        <w:spacing w:after="0" w:line="18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9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delivered by the Company may state that such notice is conditioned upon the effectiveness of other credit facilities or instruments of Indebtedness or the occurrence of any other specified event, in which case such notice may be revoked by the Company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6" w:lineRule="auto"/>
        <w:tabs>
          <w:tab w:leader="none" w:pos="169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hereby unconditionally promise to pay (i) to the Administrative Agent for the account of each Lender the then unpaid principal amount of each Revolving Loan of any Class made to each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Loan is made, the Borrowers shall repay all Swingline Loans then outstanding.</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currency and Type thereof and the Interest Period, if any, applicable thereto, (ii) the amount of any principal or interest due and payable or to become due and payable from the Borrowers to each Lender hereunder and (iii) the amount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21"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any sum received by the Administrative Agent hereunder for the account of the Lenders and each Lender’s share thereof.</w:t>
      </w:r>
    </w:p>
    <w:p>
      <w:pPr>
        <w:spacing w:after="0" w:line="225" w:lineRule="exact"/>
        <w:rPr>
          <w:sz w:val="20"/>
          <w:szCs w:val="20"/>
          <w:color w:val="auto"/>
        </w:rPr>
      </w:pPr>
    </w:p>
    <w:p>
      <w:pPr>
        <w:jc w:val="both"/>
        <w:ind w:firstLine="1305"/>
        <w:spacing w:after="0" w:line="261" w:lineRule="auto"/>
        <w:tabs>
          <w:tab w:leader="none" w:pos="176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each Borrower to repay the Loans in accordance with the terms of this Agreement.</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promissory notes. In such event, the Borrowers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6" w:lineRule="auto"/>
        <w:tabs>
          <w:tab w:leader="none" w:pos="169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(i) The Borrowers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176" w:lineRule="exact"/>
        <w:rPr>
          <w:rFonts w:ascii="Times New Roman" w:cs="Times New Roman" w:eastAsia="Times New Roman" w:hAnsi="Times New Roman"/>
          <w:sz w:val="18"/>
          <w:szCs w:val="18"/>
          <w:color w:val="auto"/>
        </w:rPr>
      </w:pPr>
    </w:p>
    <w:p>
      <w:pPr>
        <w:jc w:val="both"/>
        <w:ind w:firstLine="1953"/>
        <w:spacing w:after="0" w:line="261" w:lineRule="auto"/>
        <w:tabs>
          <w:tab w:leader="none" w:pos="2415"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the Administrative Agent (and, in the case of prepayment of a Swingline Loan, the Swingline Lender) by telephone (confirmed by telecopy or transmission by electronic communication in accordance with Section 9.01(b)) of any prepayment hereunder</w:t>
      </w:r>
    </w:p>
    <w:p>
      <w:pPr>
        <w:jc w:val="both"/>
        <w:ind w:firstLine="8"/>
        <w:spacing w:after="0" w:line="251" w:lineRule="auto"/>
        <w:tabs>
          <w:tab w:leader="none" w:pos="22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 the case of prepayment of a Eurocurrency Borrowing in Dollars, not later than 2:00 p.m., New York City time, three (3) Business Days before the date of prepayment, or (y) four Business Days (or five, in the case of prepayment of Loans denominated in Special Notice Currencies) prior to any date of prepayment of Eurocurrency Loans denominated in Alternative Currencies, (ii) in the case of prepayment of a Base Rate Borrowing,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 accompanied by accrued interest to the extent required by Section 2.12 and shall be subject to Section 2.15.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621" w:right="239" w:bottom="1440" w:gutter="0" w:footer="0" w:header="0"/>
        </w:sectPr>
      </w:pPr>
    </w:p>
    <w:bookmarkStart w:id="212" w:name="page213"/>
    <w:bookmarkEnd w:id="212"/>
    <w:p>
      <w:pPr>
        <w:ind w:left="1700" w:hanging="395"/>
        <w:spacing w:after="0"/>
        <w:tabs>
          <w:tab w:leader="none" w:pos="17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8"/>
          <w:szCs w:val="18"/>
          <w:color w:val="auto"/>
        </w:rPr>
        <w:t xml:space="preserve">If the Administrative Agent notifies the Company at any time that the Revolving Credit Exposure at such time exceeds an amount equal to 105% of the Revolving Commitments then in effect, then, within two Business Days after receipt of such notice, the Borrowers shall prepay Loans and/or Cash Collateralize the L/C Exposure in an aggregate amount sufficient to reduce such Revolving Credit Exposure as of such date of payment to an amount not to exceed 100% of the Revolving Commitments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 2.05(g)(ii), the Borrowers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185" w:lineRule="exact"/>
        <w:rPr>
          <w:sz w:val="20"/>
          <w:szCs w:val="20"/>
          <w:color w:val="auto"/>
        </w:rPr>
      </w:pPr>
    </w:p>
    <w:p>
      <w:pPr>
        <w:ind w:left="58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3" w:lineRule="auto"/>
        <w:tabs>
          <w:tab w:leader="none" w:pos="170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collectively, agree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Borrowers so long as such Lender shall be a Defaulting Lender except to the extent that such facility fee shall otherwise have been due and payable by the Borrowers prior to such time;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88"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9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collectively, agree to pay (i) to the Administrative Agent for the account of each Revolving Lender a participation fee with respect to its participations in Letters of Credit, which shall accrue at the same Applicable Rate used to determine the interest rate applicable to Eurocurrency Revolving Loans on the average daily Dollar Equivalent of such Lender’s LC Exposure (excluding any portion thereof attributable to unreimbursed LC Disbursements) during the period from and including the Closing Date to but excluding the later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621" w:right="239" w:bottom="1440" w:gutter="0" w:footer="0" w:header="0"/>
        </w:sectPr>
      </w:pPr>
    </w:p>
    <w:bookmarkStart w:id="213" w:name="page214"/>
    <w:bookmarkEnd w:id="21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of the date on which such Lender’s Revolving Commitment terminates and the date on which such Lender ceases to have any LC Exposure and (ii) to each Issuing Bank a fronting fee, which shall accrue at the rate of 0.125% per annum on the average daily Dollar Equivalent of the LC Exposure (excluding any portion thereof attributable to unreimbursed LC Disbursements) attributable to Letters of Credit issued by such Issuing Bank during the period from and including the Closing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91" w:lineRule="exact"/>
        <w:rPr>
          <w:sz w:val="20"/>
          <w:szCs w:val="20"/>
          <w:color w:val="auto"/>
        </w:rPr>
      </w:pPr>
    </w:p>
    <w:p>
      <w:pPr>
        <w:ind w:firstLine="1305"/>
        <w:spacing w:after="0" w:line="282" w:lineRule="auto"/>
        <w:tabs>
          <w:tab w:leader="none" w:pos="16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collectively, agree to pay to the Administrative Agent, for its own account, fees payable in the amounts and at the times separately agreed upon between any Borrower and the Administrative Agent.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immediately available funds, to the Administrative Agent (or to the relevant Issuing Bank, in the case of fees payable to it) for distribution, in the case of facility fees and participation fees, to the Lenders. Fees paid shall not be refundable under any circumstances.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7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Base Rate Borrowing (including each Swingline Loan) shall bear interest at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Eurocurrency Borrowing shall bear interest at the LIBO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1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any time (x) an Event of Default has occurred and is continuing under clauses (h) or (i) of Article VII or (y) if any principal of or interest on any Loan or any fee or other amount payable by the Borrowers hereunder is not paid when due, whether at stated maturity, upon acceleration or otherwise, then such overdue amount shall bear interest, after as well as before judgment, at a rate per annum equal to (i) in the case of overdue principal of any Loan,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Section or (ii) in the case of any other amount, upon the request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621"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color w:val="auto"/>
        </w:rPr>
        <w:t xml:space="preserve">of the Required Lenders,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Base Rate Loans as provided in paragraph (a) of this Section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6" w:lineRule="auto"/>
        <w:tabs>
          <w:tab w:leader="none" w:pos="170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 Base Rate Revolving Loan prior to the end of the Availability Period or a Swingline Loan),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1305"/>
        <w:spacing w:after="0" w:line="258" w:lineRule="auto"/>
        <w:tabs>
          <w:tab w:leader="none" w:pos="169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(i) computed by reference to the Base Rate shall be computed on the basis of a year of 365 days (or 366 days in a leap year) and (ii) for Borrowings denominated in Sterling shall be computed on the basis of a year of 365 days, and in each case shall be payable for the actual number of days elapsed (including the first day but excluding the last day). The applicable Base Rate or LIBO Rate shall be determined by the Administrative Agent in accordance with the provisions of this Agreement, and such determination shall be conclusive absent manifest error.</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Alternate Rate of Interest</w:t>
      </w:r>
      <w:r>
        <w:rPr>
          <w:rFonts w:ascii="Times New Roman" w:cs="Times New Roman" w:eastAsia="Times New Roman" w:hAnsi="Times New Roman"/>
          <w:sz w:val="17"/>
          <w:szCs w:val="17"/>
          <w:color w:val="auto"/>
        </w:rPr>
        <w:t>. If prior to the commencement of any Interest Period for a Eurocurrency Borrowing:</w:t>
      </w:r>
    </w:p>
    <w:p>
      <w:pPr>
        <w:spacing w:after="0" w:line="225" w:lineRule="exact"/>
        <w:rPr>
          <w:sz w:val="20"/>
          <w:szCs w:val="20"/>
          <w:color w:val="auto"/>
        </w:rPr>
      </w:pPr>
    </w:p>
    <w:p>
      <w:pPr>
        <w:ind w:firstLine="1305"/>
        <w:spacing w:after="0" w:line="282" w:lineRule="auto"/>
        <w:tabs>
          <w:tab w:leader="none" w:pos="174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LIBO Rate for such Interest Period (in each case with respect to clause (a), the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8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the Lenders by telephone or telecopy or transmission by electronic communication in accordance with Section 9.01 as promptly as practicable thereafter and, until the Administrative Agent notifies the Company and the Lenders that the circumstances giving rise to such notice no longer exist, (i) any Interest Election Request that requests the conversion of any Revolving Borrowing to, or continuation of any Revolving Borrowing as, a Eurocurrency Borrowing shall be ineffective and such Revolving Borrowing shall be converted to or continued on the last day of the Interest Period applicable thereto (A) if such Revolving Borrowing is denominated in Dollars, as a Base Rate Borrowing, or (B) if such Revolving Borrowing is denominated in an Alternative Currency, as a Revolving Borrowing bearing interest at such rate as the Administrative Agent and the Company may agree adequately reflects the costs to the Lenders of making or maintaining their Loans (or, in the absence of such agreement, such Revolving Borrowing shall be repaid as of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621" w:right="239" w:bottom="1440" w:gutter="0" w:footer="0" w:header="0"/>
        </w:sectPr>
      </w:pPr>
    </w:p>
    <w:bookmarkStart w:id="215" w:name="page216"/>
    <w:bookmarkEnd w:id="215"/>
    <w:p>
      <w:pPr>
        <w:jc w:val="both"/>
        <w:spacing w:after="0" w:line="255" w:lineRule="auto"/>
        <w:rPr>
          <w:sz w:val="20"/>
          <w:szCs w:val="20"/>
          <w:color w:val="auto"/>
        </w:rPr>
      </w:pPr>
      <w:r>
        <w:rPr>
          <w:rFonts w:ascii="Times New Roman" w:cs="Times New Roman" w:eastAsia="Times New Roman" w:hAnsi="Times New Roman"/>
          <w:sz w:val="18"/>
          <w:szCs w:val="18"/>
          <w:color w:val="auto"/>
        </w:rPr>
        <w:t>last day of the current Interest Period applicable thereto), (ii) if any Borrowing Request requests a Eurocurrency Revolving Borrowing denominated in Dollars, such Borrowing shall be made as a Base Rate Borrowing (or such Revolving Borrowing shall not be made if the applicable Borrower revokes (and, in such circumstances, such Borrowing Request may be revoked notwithstanding any other provision of this Agreement) by telephone, confirmed promptly in writing, not later than one Business Day prior to the proposed date of such Borrowing) and (iii) if any Borrowing Request requests a Eurocurrency Revolving Borrowing in an Alternative Currency, such Borrowing shall be made as a Revolving Borrowing bearing interest at such rate as the Administrative Agent and the Company may agree adequately reflects the costs to the Lenders of making or maintaining their Loans or, in the absence of such agreement, such Borrowing Request shall be automatically revoked notwithstanding any other provision of this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if the Administrative Agent has made the determination described in this section, the Administrative Agent, in consultation with the Borrowers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 Administrative Agent or the Required Lenders notify the Administrative Agent and the Borrowers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Borrowers written notice thereof. Upon the Administrative Agent’s election to establish an alternative rate of interest pursuant to this paragraph, the Company may revoke any pending request for a Borrowing of, conversion to or continuation of Eurocurrency Loans in the affected currency or currencies (to the extent of the affected Eurocurrency Rate Loans or Interest Periods) without payment of any amount specified in Section 2.15, provided that such repayment is effected promptly upon receipt of such notice.</w:t>
      </w:r>
    </w:p>
    <w:p>
      <w:pPr>
        <w:spacing w:after="0" w:line="1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5"/>
        <w:spacing w:after="0"/>
        <w:tabs>
          <w:tab w:leader="none" w:pos="1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32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 or any Issuing Bank;</w:t>
      </w:r>
    </w:p>
    <w:p>
      <w:pPr>
        <w:spacing w:after="0" w:line="161" w:lineRule="exact"/>
        <w:rPr>
          <w:rFonts w:ascii="Times New Roman" w:cs="Times New Roman" w:eastAsia="Times New Roman" w:hAnsi="Times New Roman"/>
          <w:sz w:val="18"/>
          <w:szCs w:val="18"/>
          <w:color w:val="auto"/>
        </w:rPr>
      </w:pPr>
    </w:p>
    <w:p>
      <w:pPr>
        <w:jc w:val="both"/>
        <w:ind w:right="20" w:firstLine="1953"/>
        <w:spacing w:after="0" w:line="266" w:lineRule="auto"/>
        <w:tabs>
          <w:tab w:leader="none" w:pos="237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621" w:right="239" w:bottom="1440" w:gutter="0" w:footer="0" w:header="0"/>
        </w:sectPr>
      </w:pPr>
    </w:p>
    <w:bookmarkStart w:id="216" w:name="page217"/>
    <w:bookmarkEnd w:id="216"/>
    <w:p>
      <w:pPr>
        <w:ind w:firstLine="1953"/>
        <w:spacing w:after="0" w:line="282" w:lineRule="auto"/>
        <w:tabs>
          <w:tab w:leader="none" w:pos="241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affecting this Agreement or Eurocurrency Loans made by such Lender or any Letter of Credit or participation therein;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Eurocurrency Loan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Borrowers will pay to such Lender or such Issuing Bank, as the case may be, such additional amount or amounts as will compensate such Lender or such Issuing Bank, as the case may be, for such additional costs incurred or reduction suffered.</w:t>
      </w:r>
    </w:p>
    <w:p>
      <w:pPr>
        <w:spacing w:after="0" w:line="189" w:lineRule="exact"/>
        <w:rPr>
          <w:sz w:val="20"/>
          <w:szCs w:val="20"/>
          <w:color w:val="auto"/>
        </w:rPr>
      </w:pPr>
    </w:p>
    <w:p>
      <w:pPr>
        <w:jc w:val="both"/>
        <w:ind w:firstLine="1305"/>
        <w:spacing w:after="0" w:line="255" w:lineRule="auto"/>
        <w:tabs>
          <w:tab w:leader="none" w:pos="17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upon the request of such Lender or such Issuing Bank, the Borrowers will pay to such Lender or such Issuing Bank, as the case may be, such additional amount or amounts as will compensate such Lender or such Issuing Bank or such Lender’s or such Issuing Bank’s holding company for any such reduction suffered.</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Company and shall be conclusive absent manifest error. The Borrowers shall pay such Lender or such Issuing Bank, as the case may be, the amount shown as due on any such certificate within ten (10) days (or such later date as may be agreed by the applicable Lender) after receipt thereof.</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an Issuing Bank pursuant to this Section for any increased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21" w:right="239" w:bottom="1440" w:gutter="0" w:footer="0" w:header="0"/>
        </w:sectPr>
      </w:pPr>
    </w:p>
    <w:bookmarkStart w:id="217" w:name="page218"/>
    <w:bookmarkEnd w:id="21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costs or reductions incurred more than 135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80" w:lineRule="exact"/>
        <w:rPr>
          <w:sz w:val="20"/>
          <w:szCs w:val="20"/>
          <w:color w:val="auto"/>
        </w:rPr>
      </w:pPr>
    </w:p>
    <w:p>
      <w:pPr>
        <w:jc w:val="both"/>
        <w:ind w:firstLine="1305"/>
        <w:spacing w:after="0" w:line="266" w:lineRule="auto"/>
        <w:tabs>
          <w:tab w:leader="none" w:pos="176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Company.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Borrowers pursuant to Section 2.18, then, in any such event, the Borrowers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Borrowers and shall be conclusive absent manifest error. The Borrowers shall pay such Lender the amount shown as due on any such certificate within ten (10) days (or such later date as may be agreed by the applicable Lender) after receipt thereof.</w:t>
      </w:r>
    </w:p>
    <w:p>
      <w:pPr>
        <w:spacing w:after="0" w:line="19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7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621" w:right="239" w:bottom="1440" w:gutter="0" w:footer="0" w:header="0"/>
        </w:sectPr>
      </w:pPr>
    </w:p>
    <w:bookmarkStart w:id="218" w:name="page219"/>
    <w:bookmarkEnd w:id="218"/>
    <w:p>
      <w:pPr>
        <w:jc w:val="both"/>
        <w:spacing w:after="0" w:line="256" w:lineRule="auto"/>
        <w:rPr>
          <w:sz w:val="20"/>
          <w:szCs w:val="20"/>
          <w:color w:val="auto"/>
        </w:rPr>
      </w:pPr>
      <w:r>
        <w:rPr>
          <w:rFonts w:ascii="Times New Roman" w:cs="Times New Roman" w:eastAsia="Times New Roman" w:hAnsi="Times New Roman"/>
          <w:sz w:val="18"/>
          <w:szCs w:val="18"/>
          <w:color w:val="auto"/>
        </w:rPr>
        <w:t>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88" w:lineRule="exact"/>
        <w:rPr>
          <w:sz w:val="20"/>
          <w:szCs w:val="20"/>
          <w:color w:val="auto"/>
        </w:rPr>
      </w:pPr>
    </w:p>
    <w:p>
      <w:pPr>
        <w:jc w:val="both"/>
        <w:ind w:firstLine="1305"/>
        <w:spacing w:after="0" w:line="266" w:lineRule="auto"/>
        <w:tabs>
          <w:tab w:leader="none" w:pos="16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5" w:lineRule="auto"/>
        <w:tabs>
          <w:tab w:leader="none" w:pos="237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the Issuing Bank (with a copy to the Administrative Agent), or by the Administrative Agent on its own behalf or on behalf of a Lender or the Issuing Bank, shall be conclusive absent manifest error.</w:t>
      </w:r>
    </w:p>
    <w:p>
      <w:pPr>
        <w:spacing w:after="0" w:line="189" w:lineRule="exact"/>
        <w:rPr>
          <w:rFonts w:ascii="Times New Roman" w:cs="Times New Roman" w:eastAsia="Times New Roman" w:hAnsi="Times New Roman"/>
          <w:sz w:val="18"/>
          <w:szCs w:val="18"/>
          <w:color w:val="auto"/>
        </w:rPr>
      </w:pPr>
    </w:p>
    <w:p>
      <w:pPr>
        <w:jc w:val="both"/>
        <w:ind w:firstLine="1953"/>
        <w:spacing w:after="0" w:line="253" w:lineRule="auto"/>
        <w:tabs>
          <w:tab w:leader="none" w:pos="235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shall, and does hereby, severally indemnify, and shall make payment in respect thereof within 10 days after demand therefor, (x) the Administrative Agent against any Indemnified Taxes attributable to such Lender or the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the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 such Lender or the Issuing Bank, as the case may be, under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21"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t>or any other Loan Document against any amount due to the Administrative Agent or any Loan Party, as applicable, under this clause (ii).</w:t>
      </w:r>
    </w:p>
    <w:p>
      <w:pPr>
        <w:spacing w:after="0" w:line="225" w:lineRule="exact"/>
        <w:rPr>
          <w:sz w:val="20"/>
          <w:szCs w:val="20"/>
          <w:color w:val="auto"/>
        </w:rPr>
      </w:pPr>
    </w:p>
    <w:p>
      <w:pPr>
        <w:jc w:val="both"/>
        <w:ind w:firstLine="1305"/>
        <w:spacing w:after="0" w:line="258" w:lineRule="auto"/>
        <w:tabs>
          <w:tab w:leader="none" w:pos="168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Upon request by the Company or the Administrative Agent, as the case may be, after any payment of Taxes on amounts payable under this Agreement or any other Loan Document by any Loan Party or by the Administrative Agent to a Governmental Authority as provided in this Section 2.16,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83"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3" w:lineRule="auto"/>
        <w:tabs>
          <w:tab w:leader="none" w:pos="229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(other than withholding Tax imposed by the United Kingdom)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Section 2.16(e)(ii)(A), (ii)(B) and (ii)(D)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 Borrower is a U.S. Person,</w:t>
      </w:r>
    </w:p>
    <w:p>
      <w:pPr>
        <w:spacing w:after="0" w:line="225" w:lineRule="exact"/>
        <w:rPr>
          <w:rFonts w:ascii="Times New Roman" w:cs="Times New Roman" w:eastAsia="Times New Roman" w:hAnsi="Times New Roman"/>
          <w:sz w:val="18"/>
          <w:szCs w:val="18"/>
          <w:color w:val="auto"/>
        </w:rPr>
      </w:pPr>
    </w:p>
    <w:p>
      <w:pPr>
        <w:jc w:val="both"/>
        <w:ind w:left="1300" w:firstLine="1301"/>
        <w:spacing w:after="0" w:line="261" w:lineRule="auto"/>
        <w:tabs>
          <w:tab w:leader="none" w:pos="305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 9 certifying that such Lender is exempt from U.S. federal backup withholding tax;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621" w:right="239" w:bottom="1440" w:gutter="0" w:footer="0" w:header="0"/>
        </w:sectPr>
      </w:pPr>
    </w:p>
    <w:bookmarkStart w:id="220" w:name="page221"/>
    <w:bookmarkEnd w:id="220"/>
    <w:p>
      <w:pPr>
        <w:jc w:val="both"/>
        <w:ind w:left="100" w:firstLine="1301"/>
        <w:spacing w:after="0" w:line="261" w:lineRule="auto"/>
        <w:tabs>
          <w:tab w:leader="none" w:pos="183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jc w:val="both"/>
        <w:ind w:left="1400" w:firstLine="1"/>
        <w:spacing w:after="0" w:line="256" w:lineRule="auto"/>
        <w:tabs>
          <w:tab w:leader="none" w:pos="1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188" w:lineRule="exact"/>
        <w:rPr>
          <w:sz w:val="20"/>
          <w:szCs w:val="20"/>
          <w:color w:val="auto"/>
        </w:rPr>
      </w:pPr>
    </w:p>
    <w:p>
      <w:pPr>
        <w:ind w:left="1400"/>
        <w:spacing w:after="0"/>
        <w:tabs>
          <w:tab w:leader="none" w:pos="18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executed originals of IRS Form W-8ECI;</w:t>
      </w:r>
    </w:p>
    <w:p>
      <w:pPr>
        <w:spacing w:after="0" w:line="225" w:lineRule="exact"/>
        <w:rPr>
          <w:sz w:val="20"/>
          <w:szCs w:val="20"/>
          <w:color w:val="auto"/>
        </w:rPr>
      </w:pPr>
    </w:p>
    <w:p>
      <w:pPr>
        <w:jc w:val="both"/>
        <w:ind w:left="1400" w:firstLine="1"/>
        <w:spacing w:after="0" w:line="255" w:lineRule="auto"/>
        <w:tabs>
          <w:tab w:leader="none" w:pos="18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K-1 to the effect that such Foreign Lender is not a “bank” within the meaning of Section 881(c)(3)(A) of the Code, a “10 percent shareholder” of the Company or any Affiliate within the meaning of Section 881(c)(3)(B) of the Code, or a “controlled foreign corporation” described in Section 881(c)</w:t>
      </w:r>
    </w:p>
    <w:p>
      <w:pPr>
        <w:spacing w:after="0" w:line="2" w:lineRule="exact"/>
        <w:rPr>
          <w:rFonts w:ascii="Times New Roman" w:cs="Times New Roman" w:eastAsia="Times New Roman" w:hAnsi="Times New Roman"/>
          <w:sz w:val="18"/>
          <w:szCs w:val="18"/>
          <w:color w:val="auto"/>
        </w:rPr>
      </w:pPr>
    </w:p>
    <w:p>
      <w:pPr>
        <w:ind w:left="14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 (a “United States Tax Compliance Certificate”) and (y) executed originals of IRS Form W-8BEN or W-BEN-E (or successor form); or</w:t>
      </w:r>
    </w:p>
    <w:p>
      <w:pPr>
        <w:spacing w:after="0" w:line="180" w:lineRule="exact"/>
        <w:rPr>
          <w:sz w:val="20"/>
          <w:szCs w:val="20"/>
          <w:color w:val="auto"/>
        </w:rPr>
      </w:pPr>
    </w:p>
    <w:p>
      <w:pPr>
        <w:jc w:val="both"/>
        <w:ind w:left="1400"/>
        <w:spacing w:after="0" w:line="255" w:lineRule="auto"/>
        <w:rPr>
          <w:sz w:val="20"/>
          <w:szCs w:val="20"/>
          <w:color w:val="auto"/>
        </w:rPr>
      </w:pPr>
      <w:r>
        <w:rPr>
          <w:rFonts w:ascii="Times New Roman" w:cs="Times New Roman" w:eastAsia="Times New Roman" w:hAnsi="Times New Roman"/>
          <w:sz w:val="18"/>
          <w:szCs w:val="18"/>
          <w:color w:val="auto"/>
        </w:rPr>
        <w:t>(IV) to the extent a Foreign Lender is not the beneficial owner, executed originals of IRS Form W-8IMY, accompanied by IRS Form W-8ECI, IRS Form W-8BEN or W-8BEN-E (or successor form), a United States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F-4 on behalf of each such direct and indirect partner;</w:t>
      </w:r>
    </w:p>
    <w:p>
      <w:pPr>
        <w:spacing w:after="0" w:line="200" w:lineRule="exact"/>
        <w:rPr>
          <w:sz w:val="20"/>
          <w:szCs w:val="20"/>
          <w:color w:val="auto"/>
        </w:rPr>
      </w:pPr>
    </w:p>
    <w:p>
      <w:pPr>
        <w:spacing w:after="0" w:line="2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220"/>
          </w:cols>
          <w:pgMar w:left="1440" w:top="621" w:right="239" w:bottom="1440" w:gutter="0" w:footer="0" w:header="0"/>
        </w:sectPr>
      </w:pPr>
    </w:p>
    <w:bookmarkStart w:id="221" w:name="page222"/>
    <w:bookmarkEnd w:id="221"/>
    <w:p>
      <w:pPr>
        <w:jc w:val="both"/>
        <w:ind w:left="1300" w:firstLine="1301"/>
        <w:spacing w:after="0" w:line="256" w:lineRule="auto"/>
        <w:tabs>
          <w:tab w:leader="none" w:pos="303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300" w:firstLine="1301"/>
        <w:spacing w:after="0" w:line="254" w:lineRule="auto"/>
        <w:tabs>
          <w:tab w:leader="none" w:pos="3139"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rFonts w:ascii="Times New Roman" w:cs="Times New Roman" w:eastAsia="Times New Roman" w:hAnsi="Times New Roman"/>
          <w:sz w:val="18"/>
          <w:szCs w:val="18"/>
          <w:color w:val="auto"/>
        </w:rPr>
      </w:pPr>
    </w:p>
    <w:p>
      <w:pPr>
        <w:jc w:val="both"/>
        <w:ind w:firstLine="1953"/>
        <w:spacing w:after="0" w:line="266" w:lineRule="auto"/>
        <w:tabs>
          <w:tab w:leader="none" w:pos="250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pursuant to this Section 2.16(e) expires or becomes obsolete or inaccurate in any respect, it shall update such form or certification or promptly notify the Company and the Administrative Agent in writing of its legal inability to do so.</w:t>
      </w:r>
    </w:p>
    <w:p>
      <w:pPr>
        <w:spacing w:after="0" w:line="176" w:lineRule="exact"/>
        <w:rPr>
          <w:rFonts w:ascii="Times New Roman" w:cs="Times New Roman" w:eastAsia="Times New Roman" w:hAnsi="Times New Roman"/>
          <w:sz w:val="18"/>
          <w:szCs w:val="18"/>
          <w:color w:val="auto"/>
        </w:rPr>
      </w:pPr>
    </w:p>
    <w:p>
      <w:pPr>
        <w:jc w:val="both"/>
        <w:ind w:firstLine="1305"/>
        <w:spacing w:after="0" w:line="254" w:lineRule="auto"/>
        <w:tabs>
          <w:tab w:leader="none" w:pos="168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 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621" w:right="239" w:bottom="1440" w:gutter="0" w:footer="0" w:header="0"/>
        </w:sectPr>
      </w:pPr>
    </w:p>
    <w:bookmarkStart w:id="222" w:name="page223"/>
    <w:bookmarkEnd w:id="222"/>
    <w:p>
      <w:pPr>
        <w:jc w:val="both"/>
        <w:spacing w:after="0" w:line="256" w:lineRule="auto"/>
        <w:rPr>
          <w:sz w:val="20"/>
          <w:szCs w:val="20"/>
          <w:color w:val="auto"/>
        </w:rPr>
      </w:pPr>
      <w:r>
        <w:rPr>
          <w:rFonts w:ascii="Times New Roman" w:cs="Times New Roman" w:eastAsia="Times New Roman" w:hAnsi="Times New Roman"/>
          <w:sz w:val="18"/>
          <w:szCs w:val="18"/>
          <w:color w:val="auto"/>
        </w:rPr>
        <w:t>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8" w:lineRule="exact"/>
        <w:rPr>
          <w:sz w:val="20"/>
          <w:szCs w:val="20"/>
          <w:color w:val="auto"/>
        </w:rPr>
      </w:pPr>
    </w:p>
    <w:p>
      <w:pPr>
        <w:ind w:firstLine="1305"/>
        <w:spacing w:after="0" w:line="282" w:lineRule="auto"/>
        <w:tabs>
          <w:tab w:leader="none" w:pos="172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Swingline Lender and Issuing Bank</w:t>
      </w:r>
      <w:r>
        <w:rPr>
          <w:rFonts w:ascii="Times New Roman" w:cs="Times New Roman" w:eastAsia="Times New Roman" w:hAnsi="Times New Roman"/>
          <w:sz w:val="18"/>
          <w:szCs w:val="18"/>
          <w:color w:val="auto"/>
        </w:rPr>
        <w:t>. For purposes of this Section 2.16, the term “Lender” shall include any Swingline Lender and any Issuing Bank and the term “applicable law” includes FATCA.</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UK Treaty Passport Scheme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320" w:hanging="367"/>
        <w:spacing w:after="0"/>
        <w:tabs>
          <w:tab w:leader="none" w:pos="2320"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UK Treaty Lender which on the date of this Agreement (x) holds a passport under the UK Treaty Passport Scheme and</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7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wishes such scheme to apply to any Loan it may make to the UK Borrower under this Agreement, shall deliver its scheme reference number and its jurisdiction of Tax residence to the Administrative Agent and Company within 10 Business Days of this Agreement.</w:t>
      </w:r>
    </w:p>
    <w:p>
      <w:pPr>
        <w:spacing w:after="0" w:line="179" w:lineRule="exact"/>
        <w:rPr>
          <w:rFonts w:ascii="Times New Roman" w:cs="Times New Roman" w:eastAsia="Times New Roman" w:hAnsi="Times New Roman"/>
          <w:sz w:val="18"/>
          <w:szCs w:val="18"/>
          <w:color w:val="auto"/>
        </w:rPr>
      </w:pPr>
    </w:p>
    <w:p>
      <w:pPr>
        <w:jc w:val="both"/>
        <w:ind w:firstLine="1953"/>
        <w:spacing w:after="0" w:line="266" w:lineRule="auto"/>
        <w:tabs>
          <w:tab w:leader="none" w:pos="2352"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which becomes a Lender hereunder after the day on which this Agreement is entered into and (x) holds a passport under the UK Treaty Passport Scheme and (y) wishes such scheme to apply to any Loans it may make under this Agreement, shall set out its scheme reference number and its jurisdiction of tax residence in the relevant Assignment and Assumption.</w:t>
      </w:r>
    </w:p>
    <w:p>
      <w:pPr>
        <w:spacing w:after="0" w:line="176" w:lineRule="exact"/>
        <w:rPr>
          <w:sz w:val="20"/>
          <w:szCs w:val="20"/>
          <w:color w:val="auto"/>
        </w:rPr>
      </w:pPr>
    </w:p>
    <w:p>
      <w:pPr>
        <w:jc w:val="both"/>
        <w:ind w:firstLine="1953"/>
        <w:spacing w:after="0" w:line="261" w:lineRule="auto"/>
        <w:tabs>
          <w:tab w:leader="none" w:pos="259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confirmed its scheme reference number and its jurisdiction of Tax residence in accordance with paragraph (h)(i) or paragraph (h)(ii) above, the UK Borrower shall make the UK Borrower DTTP Filing with respect to such Lender within thirty (30) Business Days of the date of this Agreement or, if later, thirty (30) Business Days before the first interest payment is due to such Lender and shall promptly provide such Lender with a copy of such filing, provided that if the UK Borrower has made the UK Borrower DTTP Filing in respect of such Lender but:</w:t>
      </w:r>
    </w:p>
    <w:p>
      <w:pPr>
        <w:spacing w:after="0" w:line="180" w:lineRule="exact"/>
        <w:rPr>
          <w:rFonts w:ascii="Times New Roman" w:cs="Times New Roman" w:eastAsia="Times New Roman" w:hAnsi="Times New Roman"/>
          <w:sz w:val="18"/>
          <w:szCs w:val="18"/>
          <w:color w:val="auto"/>
        </w:rPr>
      </w:pPr>
    </w:p>
    <w:p>
      <w:pPr>
        <w:ind w:left="3040" w:hanging="439"/>
        <w:spacing w:after="0"/>
        <w:tabs>
          <w:tab w:leader="none" w:pos="30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UK Borrower DTTP Filing has been rejected by HM Revenue &amp; Customs; or</w:t>
      </w:r>
    </w:p>
    <w:p>
      <w:pPr>
        <w:spacing w:after="0" w:line="225" w:lineRule="exact"/>
        <w:rPr>
          <w:rFonts w:ascii="Times New Roman" w:cs="Times New Roman" w:eastAsia="Times New Roman" w:hAnsi="Times New Roman"/>
          <w:sz w:val="18"/>
          <w:szCs w:val="18"/>
          <w:color w:val="auto"/>
        </w:rPr>
      </w:pPr>
    </w:p>
    <w:p>
      <w:pPr>
        <w:ind w:left="1300" w:firstLine="1301"/>
        <w:spacing w:after="0" w:line="282" w:lineRule="auto"/>
        <w:tabs>
          <w:tab w:leader="none" w:pos="3085"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 Revenue &amp; Customs has not given the UK Borrower authority to make payments to such Lender without a deduction for Tax within sixty (60) days of the date of such UK Borrower DTTP Filing;</w:t>
      </w:r>
    </w:p>
    <w:p>
      <w:pPr>
        <w:spacing w:after="0" w:line="161" w:lineRule="exact"/>
        <w:rPr>
          <w:rFonts w:ascii="Times New Roman" w:cs="Times New Roman" w:eastAsia="Times New Roman" w:hAnsi="Times New Roman"/>
          <w:sz w:val="18"/>
          <w:szCs w:val="18"/>
          <w:color w:val="auto"/>
        </w:rPr>
      </w:pPr>
    </w:p>
    <w:p>
      <w:pPr>
        <w:ind w:left="1960" w:hanging="7"/>
        <w:spacing w:after="0" w:line="282" w:lineRule="auto"/>
        <w:tabs>
          <w:tab w:leader="none" w:pos="243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each case, the UK Borrower has notified that Lender in writing), then such Lender and the UK Borrower shall co-operate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621" w:right="239" w:bottom="1440" w:gutter="0" w:footer="0" w:header="0"/>
        </w:sectPr>
      </w:pPr>
    </w:p>
    <w:bookmarkStart w:id="223" w:name="page224"/>
    <w:bookmarkEnd w:id="223"/>
    <w:p>
      <w:pPr>
        <w:ind w:left="1960"/>
        <w:spacing w:after="0" w:line="282" w:lineRule="auto"/>
        <w:rPr>
          <w:sz w:val="20"/>
          <w:szCs w:val="20"/>
          <w:color w:val="auto"/>
        </w:rPr>
      </w:pPr>
      <w:r>
        <w:rPr>
          <w:rFonts w:ascii="Times New Roman" w:cs="Times New Roman" w:eastAsia="Times New Roman" w:hAnsi="Times New Roman"/>
          <w:sz w:val="18"/>
          <w:szCs w:val="18"/>
          <w:color w:val="auto"/>
        </w:rPr>
        <w:t>completing any additional procedural formalities necessary for the UK Borrower to obtain authorization to make that payment under this Agreement without UK withholding or deduction.</w:t>
      </w:r>
    </w:p>
    <w:p>
      <w:pPr>
        <w:spacing w:after="0" w:line="162" w:lineRule="exact"/>
        <w:rPr>
          <w:sz w:val="20"/>
          <w:szCs w:val="20"/>
          <w:color w:val="auto"/>
        </w:rPr>
      </w:pPr>
    </w:p>
    <w:p>
      <w:pPr>
        <w:ind w:left="2340" w:hanging="387"/>
        <w:spacing w:after="0"/>
        <w:tabs>
          <w:tab w:leader="none" w:pos="23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2.16 shall require a UK Treaty Lender to:</w:t>
      </w:r>
    </w:p>
    <w:p>
      <w:pPr>
        <w:spacing w:after="0" w:line="225" w:lineRule="exact"/>
        <w:rPr>
          <w:rFonts w:ascii="Times New Roman" w:cs="Times New Roman" w:eastAsia="Times New Roman" w:hAnsi="Times New Roman"/>
          <w:sz w:val="18"/>
          <w:szCs w:val="18"/>
          <w:color w:val="auto"/>
        </w:rPr>
      </w:pPr>
    </w:p>
    <w:p>
      <w:pPr>
        <w:ind w:left="3040" w:hanging="439"/>
        <w:spacing w:after="0"/>
        <w:tabs>
          <w:tab w:leader="none" w:pos="304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under the UK Treaty Passport Scheme;</w:t>
      </w:r>
    </w:p>
    <w:p>
      <w:pPr>
        <w:spacing w:after="0" w:line="225" w:lineRule="exact"/>
        <w:rPr>
          <w:rFonts w:ascii="Times New Roman" w:cs="Times New Roman" w:eastAsia="Times New Roman" w:hAnsi="Times New Roman"/>
          <w:sz w:val="18"/>
          <w:szCs w:val="18"/>
          <w:color w:val="auto"/>
        </w:rPr>
      </w:pPr>
    </w:p>
    <w:p>
      <w:pPr>
        <w:ind w:left="3020" w:hanging="419"/>
        <w:spacing w:after="0"/>
        <w:tabs>
          <w:tab w:leader="none" w:pos="302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UK Treaty Passport Scheme to any Loan if it has so registered; or</w:t>
      </w:r>
    </w:p>
    <w:p>
      <w:pPr>
        <w:spacing w:after="0" w:line="225" w:lineRule="exact"/>
        <w:rPr>
          <w:rFonts w:ascii="Times New Roman" w:cs="Times New Roman" w:eastAsia="Times New Roman" w:hAnsi="Times New Roman"/>
          <w:sz w:val="18"/>
          <w:szCs w:val="18"/>
          <w:color w:val="auto"/>
        </w:rPr>
      </w:pPr>
    </w:p>
    <w:p>
      <w:pPr>
        <w:jc w:val="both"/>
        <w:ind w:left="1300" w:firstLine="1301"/>
        <w:spacing w:after="0" w:line="266" w:lineRule="auto"/>
        <w:tabs>
          <w:tab w:leader="none" w:pos="3051"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UK Treaty forms if it has included an indication to the effect that it wishes the UK Treaty Passport Scheme to apply to this Agreement in accordance with Section 2.16(h)(i) or Section 2.16(h)(ii) (UK Treaty Passport Scheme confirmation) and the UK Borrower making that payment has not complied with its obligations under Section 2.16(h)(iii).</w:t>
      </w:r>
    </w:p>
    <w:p>
      <w:pPr>
        <w:spacing w:after="0" w:line="176" w:lineRule="exact"/>
        <w:rPr>
          <w:rFonts w:ascii="Times New Roman" w:cs="Times New Roman" w:eastAsia="Times New Roman" w:hAnsi="Times New Roman"/>
          <w:sz w:val="18"/>
          <w:szCs w:val="18"/>
          <w:color w:val="auto"/>
        </w:rPr>
      </w:pPr>
    </w:p>
    <w:p>
      <w:pPr>
        <w:ind w:right="20" w:firstLine="1953"/>
        <w:spacing w:after="0" w:line="282" w:lineRule="auto"/>
        <w:tabs>
          <w:tab w:leader="none" w:pos="24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Borrower shall, promptly on making a UK Borrower DTTP Filing, deliver a copy of such UK Borrower DTTP Filing to the Administrative Agent for delivery to the relevant Lender.</w:t>
      </w:r>
    </w:p>
    <w:p>
      <w:pPr>
        <w:spacing w:after="0" w:line="161"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6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UK Treaty Lender has not confirmed its scheme reference number and jurisdiction of tax residence in accordance with paragraph (j)(i) or paragraph (j)(ii) above, the UK Borrower shall not (unless the Lender otherwise agrees) make a UK Borrower DTTP filing or file any other form relating to the UK Treaty Passport Scheme in respect of that Lender’s Commitments(s) or its participation in any Loan, but that Lender and the UK Borrower shall co-operate in the prompt completion of any procedural formalities necessary for the UK Borrower to obtain authorization to make payments to the Lender under this Agreement without UK withholding or deduction.</w:t>
      </w:r>
    </w:p>
    <w:p>
      <w:pPr>
        <w:spacing w:after="0" w:line="18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Confirmation</w:t>
      </w:r>
      <w:r>
        <w:rPr>
          <w:rFonts w:ascii="Times New Roman" w:cs="Times New Roman" w:eastAsia="Times New Roman" w:hAnsi="Times New Roman"/>
          <w:sz w:val="18"/>
          <w:szCs w:val="18"/>
          <w:color w:val="auto"/>
        </w:rPr>
        <w:t>. Each Lender which becomes a party to this Agreement on the day on which this Agreement is entered shall confirm whether or not it is a Qualifying Lender and, if it is a UK Treaty Lender, shall provide the UK Borrower notice to that effect, in each case within 10 Business Days of this Agreement. Each Lender which becomes a party to this Agreement pursuant to an Assignment and Assumption shall indicate in the Assignment and Assumption whether or not it is a Qualifying Lender and if it is a UK Treaty Lender, shall include an indication to that effect in the Assignment and Assumption. For the avoidance of doubt, the Agreement or an Assignment and Assumption shall not be invalidated by any failure of a Lender to comply with this Section 2.16(i).</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Changes</w:t>
      </w:r>
      <w:r>
        <w:rPr>
          <w:rFonts w:ascii="Times New Roman" w:cs="Times New Roman" w:eastAsia="Times New Roman" w:hAnsi="Times New Roman"/>
          <w:sz w:val="18"/>
          <w:szCs w:val="18"/>
          <w:color w:val="auto"/>
        </w:rPr>
        <w:t>. The UK Borrower shall promptly, upon becoming aware that it must make a UK withholding or deduction (or that there is any change in the rate or the basis of such UK withholding or deduction) notify the Administrative Agent accordingly. Similarly, a Lender shall notify the Administrative Agent promptly on becoming so aware in respect of a payment payable to that Lender. If the Administrative Agent receives such notification from a Lender it shall notify the UK Borrower.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621" w:right="239" w:bottom="1440" w:gutter="0" w:footer="0" w:header="0"/>
        </w:sectPr>
      </w:pPr>
    </w:p>
    <w:bookmarkStart w:id="224" w:name="page225"/>
    <w:bookmarkEnd w:id="224"/>
    <w:p>
      <w:pPr>
        <w:ind w:left="1700" w:hanging="395"/>
        <w:spacing w:after="0"/>
        <w:tabs>
          <w:tab w:leader="none" w:pos="1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Added 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8" w:lineRule="auto"/>
        <w:tabs>
          <w:tab w:leader="none" w:pos="232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Loan Document to be payable by any party to any Lender which (in whole or in part) constitute the consideration for a supply or supplies for VAT purposes shall be deemed to be exclusive of any VAT which is chargeable on such supply or supplies, and accordingly, if VAT is or becomes chargeable on any supply made by any Lender to any party under a Loan Document, that party shall pay to the Lender (in addition to and at the same time as paying any other consideration for such supply) an amount equal to the amount of such VAT (and such Lender shall promptly provide an appropriate VAT invoice to such party).</w:t>
      </w:r>
    </w:p>
    <w:p>
      <w:pPr>
        <w:spacing w:after="0" w:line="183"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1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Lender for any cost or expense, that party shall reimburse or indemnify (as the case may be) such Lender for the full amount of such cost or expense, including such part thereof as represents VAT, save to the extent that such Lender reasonably determines that it is entitled to credit or repayment in respect of such VAT from the relevant tax authority.</w:t>
      </w:r>
    </w:p>
    <w:p>
      <w:pPr>
        <w:spacing w:after="0" w:line="17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2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2.16(k)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United Kingdom Value Added Tax Act 1994).</w:t>
      </w:r>
    </w:p>
    <w:p>
      <w:pPr>
        <w:spacing w:after="0" w:line="176" w:lineRule="exact"/>
        <w:rPr>
          <w:rFonts w:ascii="Times New Roman" w:cs="Times New Roman" w:eastAsia="Times New Roman" w:hAnsi="Times New Roman"/>
          <w:sz w:val="18"/>
          <w:szCs w:val="18"/>
          <w:color w:val="auto"/>
        </w:rPr>
      </w:pPr>
    </w:p>
    <w:p>
      <w:pPr>
        <w:jc w:val="both"/>
        <w:ind w:firstLine="1953"/>
        <w:spacing w:after="0" w:line="261" w:lineRule="auto"/>
        <w:tabs>
          <w:tab w:leader="none" w:pos="251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Lender or the Administrative Agent to any party under any Loan Document, if reasonably requested by such Lender or Administrative Agent, that party shall promptly provide such Lender or Administrative Agent with details of that party’s VAT registration and such other information as is reasonably requested in connection with such Lender’s or Administrative Agent’s VAT reporting requirements in relation to such supply.</w:t>
      </w:r>
    </w:p>
    <w:p>
      <w:pPr>
        <w:spacing w:after="0" w:line="180"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621" w:right="239" w:bottom="1440" w:gutter="0" w:footer="0" w:header="0"/>
        </w:sectPr>
      </w:pPr>
    </w:p>
    <w:bookmarkStart w:id="225" w:name="page226"/>
    <w:bookmarkEnd w:id="225"/>
    <w:p>
      <w:pPr>
        <w:jc w:val="both"/>
        <w:spacing w:after="0" w:line="252" w:lineRule="auto"/>
        <w:rPr>
          <w:sz w:val="20"/>
          <w:szCs w:val="20"/>
          <w:color w:val="auto"/>
        </w:rPr>
      </w:pPr>
      <w:r>
        <w:rPr>
          <w:rFonts w:ascii="Times New Roman" w:cs="Times New Roman" w:eastAsia="Times New Roman" w:hAnsi="Times New Roman"/>
          <w:sz w:val="18"/>
          <w:szCs w:val="18"/>
          <w:color w:val="auto"/>
        </w:rPr>
        <w:t>Administrative Agent’s Office for such currency, in each case on the date when due, in immediately available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 (ii) 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the Borrowers are not able to make payment to the Administrative Agent for the account of the Lenders in such Original Currency, then all payments to be made by the Borrowers hereunder in such currency shall instead be made when due in Dollars in an amount equal to the Dollar Equivalent (as of the date of repayment) of such payment due, it being the intention of the parties hereto that the Borrowers take all risks of the imposition of any such currency control or exchange regulations.</w:t>
      </w:r>
    </w:p>
    <w:p>
      <w:pPr>
        <w:spacing w:after="0" w:line="197" w:lineRule="exact"/>
        <w:rPr>
          <w:sz w:val="20"/>
          <w:szCs w:val="20"/>
          <w:color w:val="auto"/>
        </w:rPr>
      </w:pPr>
    </w:p>
    <w:p>
      <w:pPr>
        <w:jc w:val="both"/>
        <w:ind w:firstLine="1305"/>
        <w:spacing w:after="0" w:line="256" w:lineRule="auto"/>
        <w:tabs>
          <w:tab w:leader="none" w:pos="177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621" w:right="239" w:bottom="1440" w:gutter="0" w:footer="0" w:header="0"/>
        </w:sectPr>
      </w:pPr>
    </w:p>
    <w:bookmarkStart w:id="226" w:name="page227"/>
    <w:bookmarkEnd w:id="226"/>
    <w:p>
      <w:pPr>
        <w:jc w:val="both"/>
        <w:spacing w:after="0" w:line="255" w:lineRule="auto"/>
        <w:rPr>
          <w:sz w:val="20"/>
          <w:szCs w:val="20"/>
          <w:color w:val="auto"/>
        </w:rPr>
      </w:pPr>
      <w:r>
        <w:rPr>
          <w:rFonts w:ascii="Times New Roman" w:cs="Times New Roman" w:eastAsia="Times New Roman" w:hAnsi="Times New Roman"/>
          <w:sz w:val="18"/>
          <w:szCs w:val="18"/>
          <w:color w:val="auto"/>
        </w:rPr>
        <w:t>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in accordance with Section 9.04.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9" w:lineRule="exact"/>
        <w:rPr>
          <w:sz w:val="20"/>
          <w:szCs w:val="20"/>
          <w:color w:val="auto"/>
        </w:rPr>
      </w:pPr>
    </w:p>
    <w:p>
      <w:pPr>
        <w:jc w:val="both"/>
        <w:ind w:firstLine="1305"/>
        <w:spacing w:after="0" w:line="255" w:lineRule="auto"/>
        <w:tabs>
          <w:tab w:leader="none" w:pos="172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Lenders or the relevant Issuing Bank hereunder that the Borrowers will not make such payment, the Administrative Agent may assume that the Borrowers have made such payment on such date in accordance herewith and may, in reliance upon such assumption, distribute to the Lenders or such Issuing Bank, as the case may be, the amount due. In such event, if the Borrowers have not in fact made such payment, then each of the Lenders or the relevant Issuing Bank, as the case may be, severally agrees to repay to the Administrative Agent forthwith on demand the amount so distributed to such Lender or the Issuing Bank,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18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69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2.14, or if the Borrowers are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621" w:right="239" w:bottom="1440" w:gutter="0" w:footer="0" w:header="0"/>
        </w:sectPr>
      </w:pPr>
    </w:p>
    <w:bookmarkStart w:id="227" w:name="page228"/>
    <w:bookmarkEnd w:id="227"/>
    <w:p>
      <w:pPr>
        <w:jc w:val="both"/>
        <w:spacing w:after="0" w:line="261" w:lineRule="auto"/>
        <w:rPr>
          <w:sz w:val="20"/>
          <w:szCs w:val="20"/>
          <w:color w:val="auto"/>
        </w:rPr>
      </w:pPr>
      <w:r>
        <w:rPr>
          <w:rFonts w:ascii="Times New Roman" w:cs="Times New Roman" w:eastAsia="Times New Roman" w:hAnsi="Times New Roman"/>
          <w:sz w:val="18"/>
          <w:szCs w:val="18"/>
          <w:color w:val="auto"/>
        </w:rPr>
        <w:t>eliminate or reduce amounts payable pursuant to Section 2.14 or 2.16, as the case may be, in the future and (ii) would not subject such Lender to any unreimbursed cost or expense and would not otherwise be disadvantageous to such Lender. The Borrowers hereby agree to pay all reasonable out-of-pocket costs and expenses incurred by any Lender in connection with any such designation or assignment. Any Lender claiming reimbursement of such costs and expenses shall deliver to the Company a certificate setting forth such costs and expenses in reasonable detail which shall be conclusive absent manifest error.</w:t>
      </w:r>
    </w:p>
    <w:p>
      <w:pPr>
        <w:spacing w:after="0" w:line="180" w:lineRule="exact"/>
        <w:rPr>
          <w:sz w:val="20"/>
          <w:szCs w:val="20"/>
          <w:color w:val="auto"/>
        </w:rPr>
      </w:pPr>
    </w:p>
    <w:p>
      <w:pPr>
        <w:jc w:val="both"/>
        <w:ind w:firstLine="1305"/>
        <w:spacing w:after="0" w:line="252" w:lineRule="auto"/>
        <w:tabs>
          <w:tab w:leader="none" w:pos="176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(1) any Lender requests compensation under Section 2.14, (2) the Borrowers are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(5) if any Lender is prohibited under applicable Law from making Loans or Letters of Credit denominated in one or more Alternative Currencies to the Borrowers in accordance with the terms of this Agreement, and at such time the Required Lenders are permitted under applicable Law (and have agreed) to make such Loans and Letters of Credit in such Alternative Currencies, (6) if any Lender is prohibited under applicable Law from making, or is not licensed to make, Loans or other applicable extensions of credit to New Mylan (provided that New Mylan is incorporated in a Permitted Jurisdiction) in accordance with this Agreement or does not consent to any request by the Company to include additional jurisdiction (of incorporation, tax residence or otherwise) as a “Permitted Jurisdiction” that is consented to by the Required Lenders or (7)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98" w:lineRule="exact"/>
        <w:rPr>
          <w:rFonts w:ascii="Times New Roman" w:cs="Times New Roman" w:eastAsia="Times New Roman" w:hAnsi="Times New Roman"/>
          <w:sz w:val="18"/>
          <w:szCs w:val="18"/>
          <w:color w:val="auto"/>
        </w:rPr>
      </w:pPr>
    </w:p>
    <w:p>
      <w:pPr>
        <w:ind w:firstLine="1953"/>
        <w:spacing w:after="0" w:line="282" w:lineRule="auto"/>
        <w:tabs>
          <w:tab w:leader="none" w:pos="236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Administrative Agent the assignment fee specified in Section 9.04 (unless otherwise agreed by the Administrative Agent);</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34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Borrowers (in the case of all other amounts);</w:t>
      </w:r>
    </w:p>
    <w:p>
      <w:pPr>
        <w:spacing w:after="0" w:line="176" w:lineRule="exact"/>
        <w:rPr>
          <w:rFonts w:ascii="Times New Roman" w:cs="Times New Roman" w:eastAsia="Times New Roman" w:hAnsi="Times New Roman"/>
          <w:sz w:val="18"/>
          <w:szCs w:val="18"/>
          <w:color w:val="auto"/>
        </w:rPr>
      </w:pPr>
    </w:p>
    <w:p>
      <w:pPr>
        <w:ind w:right="20" w:firstLine="1953"/>
        <w:spacing w:after="0" w:line="282" w:lineRule="auto"/>
        <w:tabs>
          <w:tab w:leader="none" w:pos="242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2.14 or payments required to be made pursuant to Section 2.16, such assignment will result in a reduction in such compensation or payments thereafter;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21" w:right="239" w:bottom="1440" w:gutter="0" w:footer="0" w:header="0"/>
        </w:sectPr>
      </w:pPr>
    </w:p>
    <w:bookmarkStart w:id="228" w:name="page229"/>
    <w:bookmarkEnd w:id="228"/>
    <w:p>
      <w:pPr>
        <w:jc w:val="both"/>
        <w:ind w:firstLine="1953"/>
        <w:spacing w:after="0" w:line="266" w:lineRule="auto"/>
        <w:tabs>
          <w:tab w:leader="none" w:pos="243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76" w:lineRule="exact"/>
        <w:rPr>
          <w:rFonts w:ascii="Times New Roman" w:cs="Times New Roman" w:eastAsia="Times New Roman" w:hAnsi="Times New Roman"/>
          <w:sz w:val="18"/>
          <w:szCs w:val="18"/>
          <w:color w:val="auto"/>
        </w:rPr>
      </w:pPr>
    </w:p>
    <w:p>
      <w:pPr>
        <w:jc w:val="both"/>
        <w:ind w:firstLine="1953"/>
        <w:spacing w:after="0" w:line="261" w:lineRule="auto"/>
        <w:tabs>
          <w:tab w:leader="none" w:pos="234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circumstance described in clause (5) above, (A) the applicable assignee shall be permitted under Law to make Loans and Letters of Credit in all Alternative Currencies to the Borrowers in accordance with the terms of this Agreement and the other Loan Documents, and (B) after giving effect to such assignment (and any other assignments made in connection therewith), each Lender shall be permitted under applicable Law to make Loans to and Letters of Credit to the Borrowers in all Applicable Currencies;</w:t>
      </w:r>
    </w:p>
    <w:p>
      <w:pPr>
        <w:spacing w:after="0" w:line="180" w:lineRule="exact"/>
        <w:rPr>
          <w:rFonts w:ascii="Times New Roman" w:cs="Times New Roman" w:eastAsia="Times New Roman" w:hAnsi="Times New Roman"/>
          <w:sz w:val="18"/>
          <w:szCs w:val="18"/>
          <w:color w:val="auto"/>
        </w:rPr>
      </w:pPr>
    </w:p>
    <w:p>
      <w:pPr>
        <w:jc w:val="both"/>
        <w:ind w:right="20" w:firstLine="1953"/>
        <w:spacing w:after="0" w:line="261" w:lineRule="auto"/>
        <w:tabs>
          <w:tab w:leader="none" w:pos="238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circumstance described in clause (6) above, (A) the applicable assignee shall be permitted under Law and licensed to make Loans and other applicable extensions of credit to New Mylan in accordance with the terms of this Agreement and</w:t>
      </w:r>
    </w:p>
    <w:p>
      <w:pPr>
        <w:ind w:right="20" w:firstLine="8"/>
        <w:spacing w:after="0" w:line="261" w:lineRule="auto"/>
        <w:tabs>
          <w:tab w:leader="none" w:pos="28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179" w:lineRule="exact"/>
        <w:rPr>
          <w:rFonts w:ascii="Times New Roman" w:cs="Times New Roman" w:eastAsia="Times New Roman" w:hAnsi="Times New Roman"/>
          <w:sz w:val="18"/>
          <w:szCs w:val="18"/>
          <w:color w:val="auto"/>
        </w:rPr>
      </w:pPr>
    </w:p>
    <w:p>
      <w:pPr>
        <w:ind w:left="2440" w:hanging="487"/>
        <w:spacing w:after="0"/>
        <w:tabs>
          <w:tab w:leader="none" w:pos="24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Expansion Option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4" w:lineRule="auto"/>
        <w:tabs>
          <w:tab w:leader="none" w:pos="18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from time to time after the Closing Date elect to increase the Revolving Commitments (“</w:t>
      </w:r>
      <w:r>
        <w:rPr>
          <w:rFonts w:ascii="Times New Roman" w:cs="Times New Roman" w:eastAsia="Times New Roman" w:hAnsi="Times New Roman"/>
          <w:sz w:val="18"/>
          <w:szCs w:val="18"/>
          <w:u w:val="single" w:color="auto"/>
          <w:color w:val="auto"/>
        </w:rPr>
        <w:t>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in an aggregate principal amount of not less than $25,000,000. The Borrowers may arrange for any such increase to be provided by one or more Lenders (each Lender so agreeing to an increase in its Revolving Commitment,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or by one or more new banks, financial institutions or other entities (each such new bank, financial institution or other entity, an “</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xml:space="preserve">”), to increase their existing Revolving Commitments or to participate in such Revolving 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Augmenting Lender (and, in the case of an Increased Commitment, each Increasing Lender) shall be subject to the approval of the Company,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Company, to effect the provisions of this Section 2.19. Increases of Revolving Commitments shall become effective on the date agreed by the Borrowers, the Administrative Agent and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621" w:right="239" w:bottom="1440" w:gutter="0" w:footer="0" w:header="0"/>
        </w:sectPr>
      </w:pPr>
    </w:p>
    <w:bookmarkStart w:id="229" w:name="page230"/>
    <w:bookmarkEnd w:id="229"/>
    <w:p>
      <w:pPr>
        <w:jc w:val="both"/>
        <w:spacing w:after="0" w:line="252" w:lineRule="auto"/>
        <w:rPr>
          <w:sz w:val="20"/>
          <w:szCs w:val="20"/>
          <w:color w:val="auto"/>
        </w:rPr>
      </w:pPr>
      <w:r>
        <w:rPr>
          <w:rFonts w:ascii="Times New Roman" w:cs="Times New Roman" w:eastAsia="Times New Roman" w:hAnsi="Times New Roman"/>
          <w:sz w:val="18"/>
          <w:szCs w:val="18"/>
          <w:color w:val="auto"/>
        </w:rPr>
        <w:t>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 Section 4.02 shall be satisfied or waived by the Required Lenders and the Administrative Agent, (ii) after giving effect to such increase in the Revolving Commitments, the Borrowers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 requirements set forth in clauses (i) and (ii) above, dated such date and executed by a Financial Officer of the Company. On the effective date of any increase in the Revolving Commitments,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 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notice, minimum borrowing, pro rata borrowing and pro rata payment requirements contained elsewhere in this Agreement shall not apply to the transactions effected pursuant to the immediately preceding sentence. The deemed payments made pursuant to clause (ii) of the second preceding sentence shall be accompanied by payment of all accrued interest on the amount prepaid and, in respect of each Eurocurrency Loan, shall be subject to indemnification by the Borrowers pursuant to the provisions of Section 2.15 if the deemed payment occurs other than on the last day of the related Interest Periods. For the avoidance of doubt, no Lender shall have any obligation to provide any Increased Commitment.</w:t>
      </w:r>
    </w:p>
    <w:p>
      <w:pPr>
        <w:spacing w:after="0" w:line="190"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This Section 2.19 shall override any provisions in Section 9.02 to the contrary.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621" w:right="239" w:bottom="1440" w:gutter="0" w:footer="0" w:header="0"/>
        </w:sectPr>
      </w:pPr>
    </w:p>
    <w:bookmarkStart w:id="230" w:name="page231"/>
    <w:bookmarkEnd w:id="230"/>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given. The obligations of the Borrowers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Designated Borrower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2" w:lineRule="auto"/>
        <w:tabs>
          <w:tab w:leader="none" w:pos="176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Substantially concurrently with (or at any time after) the effectiveness of the Specified Acquisition Transaction (but solely to the extent New Mylan is not a Successor Borrower hereunder), Mylan may (upon not less than 15 Business Days’ prior written notice to the Administrative Agent and the Lenders (or such shorter time as the Administrative Agent may agree)), subject to the provisions of this Section 2.21(a), designate New Mylan as a borrower hereunder to receive Loans and make Borrowings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 Request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xml:space="preserve">”). The Administrative Agent and each Lender agree that New Mylan may become a “Designated Borrower” pursuant hereto without any requirement of further consent from the Lenders or the Administrative Agent, provided that (i) New Mylan is organized under the laws of a Permitted Jurisdiction, (ii) New Mylan takes all such actions and executes and delivers to the Administrative Agent (A) a joinder to this Agreement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(B) all documents and other information reasonably requested by the Lenders in order to allow the Lenders to comply with applicable “know your customer” and anti-money laundering rules and regulations, including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or this </w:t>
      </w:r>
      <w:r>
        <w:rPr>
          <w:rFonts w:ascii="Times New Roman" w:cs="Times New Roman" w:eastAsia="Times New Roman" w:hAnsi="Times New Roman"/>
          <w:sz w:val="18"/>
          <w:szCs w:val="18"/>
          <w:u w:val="single" w:color="auto"/>
          <w:color w:val="auto"/>
        </w:rPr>
        <w:t>Section 2.21(a)</w:t>
      </w:r>
      <w:r>
        <w:rPr>
          <w:rFonts w:ascii="Times New Roman" w:cs="Times New Roman" w:eastAsia="Times New Roman" w:hAnsi="Times New Roman"/>
          <w:sz w:val="18"/>
          <w:szCs w:val="18"/>
          <w:color w:val="auto"/>
        </w:rPr>
        <w:t xml:space="preserve"> or that may be reasonably required by the Administrative Agent, (iii) each Lender, at the time of such designation, shall be permitted under applicable Laws and shall be licensed to make Loans and other applicable extensions of credit to New Mylan in accordance with the terms of this Agreement and the other Loan Documents, or, if any such Lender is not so permitted, such Lender may be replaced pursuant to Section 2.18, and (iv) New Mylan shall have all governmental approvals and authorizations necessary to act, and perform its obligations, as a Borrower in connection with this Agreement and the Loan Documents. Subject to satisfaction of the requirements set forth above, the Administrative Agent shall send a notice in substantially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621" w:right="239" w:bottom="1440" w:gutter="0" w:footer="0" w:header="0"/>
        </w:sectPr>
      </w:pPr>
    </w:p>
    <w:bookmarkStart w:id="231" w:name="page232"/>
    <w:bookmarkEnd w:id="23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to Mylan and the Lenders specifying the effective date upon which New Mylan shall constitute a designated borrower for purposes hereof (New Mylan, upon the satisfaction of such conditions, the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whereupon each of the Lenders agrees to permit such Designated Borrower to receive Loans and make Borrowings hereunder, on the terms and conditions set forth herein, and each of the parties agrees that the Designated Borrower otherwise shall be a Borrower for all purposes of this Agreement.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Extended Revolving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2" w:lineRule="auto"/>
        <w:tabs>
          <w:tab w:leader="none" w:pos="167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Extended Revolving Commitments</w:t>
      </w:r>
      <w:r>
        <w:rPr>
          <w:rFonts w:ascii="Times New Roman" w:cs="Times New Roman" w:eastAsia="Times New Roman" w:hAnsi="Times New Roman"/>
          <w:sz w:val="18"/>
          <w:szCs w:val="18"/>
          <w:color w:val="auto"/>
        </w:rPr>
        <w:t>. The Borrowers may at any time and from time to time, upon written request to and the consent of the Administrative Agent (each, a “</w:t>
      </w:r>
      <w:r>
        <w:rPr>
          <w:rFonts w:ascii="Times New Roman" w:cs="Times New Roman" w:eastAsia="Times New Roman" w:hAnsi="Times New Roman"/>
          <w:sz w:val="18"/>
          <w:szCs w:val="18"/>
          <w:u w:val="single" w:color="auto"/>
          <w:color w:val="auto"/>
        </w:rPr>
        <w:t>Revolving Extension Request</w:t>
      </w:r>
      <w:r>
        <w:rPr>
          <w:rFonts w:ascii="Times New Roman" w:cs="Times New Roman" w:eastAsia="Times New Roman" w:hAnsi="Times New Roman"/>
          <w:sz w:val="18"/>
          <w:szCs w:val="18"/>
          <w:color w:val="auto"/>
        </w:rPr>
        <w:t>”), request that an aggregate principal amount of not less than $300,000,000 of the then existing Commitments of any Class (each, an “</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be amended to, among other things, extend the applicable Revolving Credit Maturity Date with respect thereto (the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to a date that is no earlier than the then Latest Maturity Date of any other Commitment hereunder (any such Revolving Commitments so amended, “</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xml:space="preserve">”); provided that (i) after giving effect to any Extended Revolving Commitment under this Section 2.22, there shall be no more than three (3) Classes of Commitments outstanding at any time and (ii) 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Credit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 changes will become effective (which may be prior to the Existing Maturity Date) and (D) any other amendments or modifications to this Agreement applicable to such Extended Revolving Commitments,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changes or modifications pursuant to this clause (D) shall become effective prior to the then Latest Maturity Date. At the time of sending such notice, the Company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Section 2.22.</w:t>
      </w:r>
    </w:p>
    <w:p>
      <w:pPr>
        <w:spacing w:after="0" w:line="191" w:lineRule="exact"/>
        <w:rPr>
          <w:rFonts w:ascii="Times New Roman" w:cs="Times New Roman" w:eastAsia="Times New Roman" w:hAnsi="Times New Roman"/>
          <w:sz w:val="18"/>
          <w:szCs w:val="18"/>
          <w:color w:val="auto"/>
        </w:rPr>
      </w:pPr>
    </w:p>
    <w:p>
      <w:pPr>
        <w:ind w:firstLine="1305"/>
        <w:spacing w:after="0" w:line="282" w:lineRule="auto"/>
        <w:tabs>
          <w:tab w:leader="none" w:pos="18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Extend</w:t>
      </w:r>
      <w:r>
        <w:rPr>
          <w:rFonts w:ascii="Times New Roman" w:cs="Times New Roman" w:eastAsia="Times New Roman" w:hAnsi="Times New Roman"/>
          <w:sz w:val="18"/>
          <w:szCs w:val="18"/>
          <w:color w:val="auto"/>
        </w:rPr>
        <w:t>. Any Revolving Lender wishing to have all or a portion of its Revolving Commitments under the Existing Revolving Tranche amended into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621" w:right="239" w:bottom="1440" w:gutter="0" w:footer="0" w:header="0"/>
        </w:sectPr>
      </w:pPr>
    </w:p>
    <w:bookmarkStart w:id="232" w:name="page233"/>
    <w:bookmarkEnd w:id="232"/>
    <w:p>
      <w:pPr>
        <w:jc w:val="both"/>
        <w:spacing w:after="0" w:line="254" w:lineRule="auto"/>
        <w:rPr>
          <w:sz w:val="20"/>
          <w:szCs w:val="20"/>
          <w:color w:val="auto"/>
        </w:rPr>
      </w:pPr>
      <w:r>
        <w:rPr>
          <w:rFonts w:ascii="Times New Roman" w:cs="Times New Roman" w:eastAsia="Times New Roman" w:hAnsi="Times New Roman"/>
          <w:sz w:val="18"/>
          <w:szCs w:val="18"/>
          <w:color w:val="auto"/>
        </w:rPr>
        <w:t>Extended Revolving Commitments (each,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 to agree to provide any Extended Revolving Commitment pursuant to any Revolving Extension Request. Any Revolving Lender not responding on or prior to such response date shall be deemed to have declined such Revolving Extension Request. The Administrative Agent shall notify the Company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Borrowers, the principal amount of Extended Revolving Commitments requested by the Borrowers shall be allocated to each Extending Revolving Lender in such manner and in such amounts as may be agreed by Administrative Agent and the Company, in their sole discretion.</w:t>
      </w:r>
    </w:p>
    <w:p>
      <w:pPr>
        <w:spacing w:after="0" w:line="186" w:lineRule="exact"/>
        <w:rPr>
          <w:sz w:val="20"/>
          <w:szCs w:val="20"/>
          <w:color w:val="auto"/>
        </w:rPr>
      </w:pPr>
    </w:p>
    <w:p>
      <w:pPr>
        <w:jc w:val="both"/>
        <w:ind w:firstLine="1305"/>
        <w:spacing w:after="0" w:line="253" w:lineRule="auto"/>
        <w:tabs>
          <w:tab w:leader="none" w:pos="181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Extended Revolving Commitments shall be established pursuant to an amendment (each, a “</w:t>
      </w: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to this Agreement among the Borrowers, the Administrative Agent and each Extending Revolving Lender, if any, providing an Extended Revolving Commitment thereunder, which shall be consistent with the provisions set forth in Sections 2.22(a), (b) and (d) (but which shall not require the consent of any other Lender). The effectiveness of any Revolving Extension Amendment shall be subject to the satisfaction on the date thereof of each of the conditions set forth in Sections 4.02(a) and (b) (with all references in such Sections to a Borrowing being deemed to be references to such Revolving Extension Request) and receipt of a certificate to that effect and, any other condition as may be agreed among the Borrowers, the Administrative Agent and the Extending Revolving Lenders. The Administrative Agent shall promptly notify each Revolving Lender as to the effectiveness of each Revolving Extension Amendment and the matters specified therein. Each of the parties hereto hereby agrees that this Agreement and the other Loan Documents may be amended pursuant to a Revolving Extension Amendment, without the consent of any other Lender, to the extent (but only to the extent) necessary to (i) reflect the existence and terms of the Extended Revolving Commitments incurred pursuant thereto, and (ii) effect such other amendments to this Agreement and the other Loan Documents as may be necessary or appropriate, in the reasonable opinion of the Administrative Agent and the Borrowers, to effect the provisions of this Section 2.22, in each case, in a manner consistent with the terms of this Section 2.22 and the Required Lenders hereby expressly authorize the Administrative Agent to enter into any such Revolving Extension Amendment.</w:t>
      </w:r>
    </w:p>
    <w:p>
      <w:pPr>
        <w:spacing w:after="0" w:line="188"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Extended Revolving Commitments</w:t>
      </w:r>
      <w:r>
        <w:rPr>
          <w:rFonts w:ascii="Times New Roman" w:cs="Times New Roman" w:eastAsia="Times New Roman" w:hAnsi="Times New Roman"/>
          <w:sz w:val="18"/>
          <w:szCs w:val="18"/>
          <w:color w:val="auto"/>
        </w:rPr>
        <w:t>. Except as expressly provided herein, all Extended Revolving Commitments effected pursuant to any Revolving Extension Request and Revolving Extension Amendment shall be subject to the same terms (including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621" w:right="239" w:bottom="1440" w:gutter="0" w:footer="0" w:header="0"/>
        </w:sectPr>
      </w:pPr>
    </w:p>
    <w:bookmarkStart w:id="233" w:name="page234"/>
    <w:bookmarkEnd w:id="233"/>
    <w:p>
      <w:pPr>
        <w:jc w:val="both"/>
        <w:spacing w:after="0" w:line="252" w:lineRule="auto"/>
        <w:rPr>
          <w:sz w:val="20"/>
          <w:szCs w:val="20"/>
          <w:color w:val="auto"/>
        </w:rPr>
      </w:pPr>
      <w:r>
        <w:rPr>
          <w:rFonts w:ascii="Times New Roman" w:cs="Times New Roman" w:eastAsia="Times New Roman" w:hAnsi="Times New Roman"/>
          <w:sz w:val="18"/>
          <w:szCs w:val="18"/>
          <w:color w:val="auto"/>
        </w:rPr>
        <w:t>respect to the existing Revolving Lenders under the then existing Revolving Commitments on or prior to the Closing Date or with respect to any other Extending Revolving Lenders in connection with any other Extended Revolving Commitments effected pursuant to this Section 2.22); provided, however, that at the election of the Borrowers (in consultation with the Administrative Agent), the Borrowers may offer to effect Extended Revolving Commitments with (i) interest and fees at different rates applicable solely with respect to such Extended Revolving Commitments (and related outstandings), which may take effect as of the date of the Revolving Extension Amendment, and (ii) 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Borrowers shall make prepayments of Revolving Loans and shall Cash Collateralize Letters of Credit, such that, after giving effect to such prepayments and such provision of cash collateral, the aggregate Revolving Credit Exposure as of such date will not exceed the aggregate Extended Revolving Commitments of the Extended Revolving Lenders extended pursuant to this Section 2.22 (and the Borrowers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197" w:lineRule="exact"/>
        <w:rPr>
          <w:sz w:val="20"/>
          <w:szCs w:val="20"/>
          <w:color w:val="auto"/>
        </w:rPr>
      </w:pPr>
    </w:p>
    <w:p>
      <w:pPr>
        <w:jc w:val="both"/>
        <w:ind w:firstLine="1305"/>
        <w:spacing w:after="0" w:line="261" w:lineRule="auto"/>
        <w:tabs>
          <w:tab w:leader="none" w:pos="174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Any Extended Revolving Commitments effected pursuant to a Revolving Extension Request shall be designated a series (each, a “Revolving Extension Series”)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Substantially concurrently with (or at any time after) the effectiveness of the Specified Acquisition Transaction, the Company may (upon not less than 15 Business Days’ prior written notice to the Administrative Agent and the Lenders (or such shorter time as the Administrative Agent may agree)), subject to the provisions of this Section 2.23, designate New Mylan as a successor Borrower (the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and effective as of the date hereof, the Administrative Agent and each Lender agree that New Mylan may become a “Successor Borrower” pursuant hereto without any requirement of further consent from the Lenders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New Mylan expressly assumes all the obligations of the Company under this Agreement and the other Loan Documents to which the Company is then party pursuant to a document set forth under clause (A) below, (ii) New Mylan is organized under the laws of a Permitted Jurisdiction, (iii) New Mylan takes all such actions and executes and delivers to the Administrative Agent (A) a joinder to this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621" w:right="239" w:bottom="1440" w:gutter="0" w:footer="0" w:header="0"/>
        </w:sectPr>
      </w:pPr>
    </w:p>
    <w:bookmarkStart w:id="234" w:name="page235"/>
    <w:bookmarkEnd w:id="23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Agreement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any document required by any Issuer Document in order to assume or otherwise transfer such Issuer Document and with respect to any promissory note, a new promissory note substantially in the form of such existing promissory note, (B) all documents and other information reasonably requested by the Lenders in order to allow the Lenders to comply with applicable “know your customer” and anti-money laundering rules and regulations, including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(iv) each Lender, at the time of such designation, shall be permitted under applicable Laws and shall be licensed to make Loans and other applicable extensions of credit to New Mylan in accordance with the terms of this Agreement and the other Loan Documents, or, if any such Lender is not so permitted, such Lender may be replaced pursuant to the provisions of Section 2.18(b), (v) New Mylan shall have all governmental approvals and authorizations necessary to act, and perform its obligations, as a Borrower in connection with this Agreement and the Loan Documents, (vi) no Event of Default exists or would result from the designation thereof and (vii) each Guarantor shall have confirmed that its Guarantee shall apply to New Mylan’s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foregoing are satisfied, (x) the Successor Borrower will succeed to, and be substituted for, the Company as the Borrower under this Agreement and (y) the Company shall be released from its obligations as a “Borrower”, but shall concurrently guarantee the Obligations in favor of the Administrative Agent and the Lenders in accordance with the provisions of Section 5.09 of this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Lenders as of the Closing Date and (except as to representations and warranties made as of a date certain) as of the date such representations and warranties are deemed to be made under Section 4.02 of this Agreement, that: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 Subsidiaries</w:t>
      </w:r>
      <w:r>
        <w:rPr>
          <w:rFonts w:ascii="Times New Roman" w:cs="Times New Roman" w:eastAsia="Times New Roman" w:hAnsi="Times New Roman"/>
          <w:sz w:val="18"/>
          <w:szCs w:val="18"/>
          <w:color w:val="auto"/>
        </w:rPr>
        <w:t>. The Company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could not reasonably be expected to result in a Material Adverse Effect, are qualified to do business in, and are in good standing (to the extent such concept is applicable) in, every jurisdiction where such qualification is required. Schedule 3.01 hereto identifies each Subsidiary of the Company on or as of a date no earlier than five Business Days prior to the Closing Date. All of the outstanding shares of capital stock and other equity interests on the Closing Date, to the extent owned by Mylan or any Subsidiary, of each Material Subsidiary are validly issued and outstanding and fully paid and nonassessable (if applicable) and all such shares and other equity interests are owned, beneficially and of record, by Mylan or such other Subsidiary on the Closing Date free and clear of all Liens, other than Liens permitted under Section 6.02; provided that any untruth, misstatement or inaccuracy of the foregoing representation in this sentence shall only be deemed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621" w:right="239" w:bottom="1440" w:gutter="0" w:footer="0" w:header="0"/>
        </w:sectPr>
      </w:pPr>
    </w:p>
    <w:bookmarkStart w:id="235" w:name="page236"/>
    <w:bookmarkEnd w:id="235"/>
    <w:p>
      <w:pPr>
        <w:jc w:val="both"/>
        <w:spacing w:after="0" w:line="261" w:lineRule="auto"/>
        <w:rPr>
          <w:sz w:val="20"/>
          <w:szCs w:val="20"/>
          <w:color w:val="auto"/>
        </w:rPr>
      </w:pPr>
      <w:r>
        <w:rPr>
          <w:rFonts w:ascii="Times New Roman" w:cs="Times New Roman" w:eastAsia="Times New Roman" w:hAnsi="Times New Roman"/>
          <w:sz w:val="18"/>
          <w:szCs w:val="18"/>
          <w:color w:val="auto"/>
        </w:rPr>
        <w:t>a breach of such representation to the extent such untruth, misstatement or inaccuracy is material to the interests of the Lenders. As of the Closing Date, there are no outstanding commitments or other obligations of Mylan or any Subsidiary to issue, and no options, warrants or other rights of any Person other than Mylan or any Subsidiary to acquire, any shares of any class of capital stock or other equity interests of any Material Subsidiary, except as disclosed on Schedule 3.01.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could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could not reasonably be expected to have a Material Adverse Effect.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Financial Statements; Financial Condition; No Material Adverse 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71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has heretofore furnished to the Lenders (i) the consolidated balance sheet and statements of earnings, stockholders equity and cash flows of Mylan (x) for each of the three fiscal years ended December 31, 2011, December 31, 2012 and December 31, 2013 reported on by Deloitte &amp; Touche LLP, independent public accountants, and (y) as of, and for the fiscal quarter ended, September 30, 2014, certified by its chief financial officer which financial statements present fairly, in all material respects, the consolidated financial position and results of operations and cash flows of Mylan as of such dates and for such periods in accordance with GAAP.</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2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2013, there has been no material adverse change in the business, assets, properties or financial condition of the Company and its Subsidiaries, taken as a whole.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621" w:right="239" w:bottom="1440" w:gutter="0" w:footer="0" w:header="0"/>
        </w:sectPr>
      </w:pPr>
    </w:p>
    <w:bookmarkStart w:id="236" w:name="page237"/>
    <w:bookmarkEnd w:id="236"/>
    <w:p>
      <w:pPr>
        <w:ind w:left="66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5"/>
        <w:spacing w:after="0" w:line="266" w:lineRule="auto"/>
        <w:tabs>
          <w:tab w:leader="none" w:pos="169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could not reasonably be expected to have a Material Adverse Effect.</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2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are licensed or possesses the right to use, all trademarks, tradenames, copyrights, patents and other intellectual property material to the operation of the business of the Company and its Subsidiaries, taken as a whole, and, to the knowledge of the Company,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Litigation and Environmental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68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Company, threatened against or affecting the Company or any of its Subsidiaries as to which there is a reasonable possibility of an adverse determination that could reasonably be expected, individually or in the aggregate, to result in a Material Adverse Effect (other than the Disclosed Matters). There are no labor controversies pending against or, to the knowledge of the Company, threatened against or affecting the Company or any of its Subsidiaries which could reasonably be expected, individually or in the aggregate, to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1305"/>
        <w:spacing w:after="0" w:line="258" w:lineRule="auto"/>
        <w:tabs>
          <w:tab w:leader="none" w:pos="180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and except with respect to any other matters that, individually or in the aggregate, could not reasonably be expected to result in a Material Adverse Effect, neither the Company nor any of its Subsidiaries (i) has failed to comply with any applicable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Each of the Company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could not reasonably be expected to result in a Material Adverse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Company nor any other Loan Party is required to register as an “investment company” as defined in the Investment Company Act of 1940.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621" w:right="239" w:bottom="1440" w:gutter="0" w:footer="0" w:header="0"/>
        </w:sectPr>
      </w:pPr>
    </w:p>
    <w:bookmarkStart w:id="237" w:name="page238"/>
    <w:bookmarkEnd w:id="2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Company and its Subsidiaries has filed or caused to be filed all Tax returns and reports required to have been filed and has paid or caused to be paid all Taxes (including any Taxes in the capacity of a withholding agent) required to have been paid by it, except (a) Taxes that are being contested in good faith by appropriate proceedings and for which the Company or such Subsidiary, as applicable, has set aside on its books reserves to the extent required by GAAP or (b) to the extent that the failure to do so could not reasonably be expected, individually or in the aggregate, to result in a Material Adverse Effect.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Company and its Subsidiaries, on a consolidated basis, are Solvent.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3.11</w:t>
        <w:tab/>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Company to the Administrative Agent or any Lender in connection with the negotiation of this Agreement or delivered hereunder (as modified or supplemented by other information so furnished), when taken as a whole and when taken together with the Company’s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Company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have been used or will be used, whether directly or indirectly, for any purpose that entails a violation of any of the Regulations of the Board, including Regulations T, U and X.</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of the Loan Parties and each of their respective Subsidiaries are in compliance, in all material respects, with the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7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 a Person whose name appears on the list of Specially Designated Nationals and Blocked Persons published by OFAC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621" w:right="239" w:bottom="1440" w:gutter="0" w:footer="0" w:header="0"/>
        </w:sectPr>
      </w:pPr>
    </w:p>
    <w:bookmarkStart w:id="238" w:name="page239"/>
    <w:bookmarkEnd w:id="238"/>
    <w:p>
      <w:pPr>
        <w:jc w:val="both"/>
        <w:spacing w:after="0" w:line="261" w:lineRule="auto"/>
        <w:rPr>
          <w:sz w:val="20"/>
          <w:szCs w:val="20"/>
          <w:color w:val="auto"/>
        </w:rPr>
      </w:pPr>
      <w:r>
        <w:rPr>
          <w:rFonts w:ascii="Times New Roman" w:cs="Times New Roman" w:eastAsia="Times New Roman" w:hAnsi="Times New Roman"/>
          <w:sz w:val="18"/>
          <w:szCs w:val="18"/>
          <w:color w:val="auto"/>
        </w:rPr>
        <w:t>(an “OFAC Listed Person”) or a Person sanctioned by the United States of America pursuant to any of the regulations administered or enforced by OFAC (31 C.F.R., Subtitle B, Chapter V, as amended); or (ii) a department, agency or instrumentality of, or is otherwise controlled by or acting on behalf of, directly or indirectly, (x) any OFAC Listed Person, or (y) the government of a country the subject of comprehensive U.S. economic sanctions administered by OFAC (collectively, “OFAC Countries”).</w:t>
      </w:r>
    </w:p>
    <w:p>
      <w:pPr>
        <w:spacing w:after="0" w:line="180" w:lineRule="exact"/>
        <w:rPr>
          <w:sz w:val="20"/>
          <w:szCs w:val="20"/>
          <w:color w:val="auto"/>
        </w:rPr>
      </w:pPr>
    </w:p>
    <w:p>
      <w:pPr>
        <w:ind w:right="60" w:firstLine="1305"/>
        <w:spacing w:after="0" w:line="256" w:lineRule="auto"/>
        <w:tabs>
          <w:tab w:leader="none" w:pos="168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no Loan, nor the proceeds from any Loan, has been or will be used,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absent valid and effective license and permits issued by the government of the United States or otherwise in accordance with applicable Laws, or in any other manner that will result in any violation by any Lender, any Arranger or the Administrative Agent of the sanctions administered or enforced by OFAC (31 C.F.R., Subtitle B, Chapter V, as amended).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7"/>
          <w:szCs w:val="17"/>
          <w:u w:val="single" w:color="auto"/>
          <w:color w:val="auto"/>
        </w:rPr>
        <w:t>Representations as to Foreign Obligors</w:t>
      </w:r>
      <w:r>
        <w:rPr>
          <w:rFonts w:ascii="Times New Roman" w:cs="Times New Roman" w:eastAsia="Times New Roman" w:hAnsi="Times New Roman"/>
          <w:sz w:val="17"/>
          <w:szCs w:val="17"/>
          <w:color w:val="auto"/>
        </w:rPr>
        <w:t>. Each of the Company and each Foreign Obligor represents and warrants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the Lenders that:</w:t>
      </w:r>
    </w:p>
    <w:p>
      <w:pPr>
        <w:spacing w:after="0" w:line="207" w:lineRule="exact"/>
        <w:rPr>
          <w:sz w:val="20"/>
          <w:szCs w:val="20"/>
          <w:color w:val="auto"/>
        </w:rPr>
      </w:pPr>
    </w:p>
    <w:p>
      <w:pPr>
        <w:jc w:val="both"/>
        <w:ind w:firstLine="1305"/>
        <w:spacing w:after="0" w:line="256" w:lineRule="auto"/>
        <w:tabs>
          <w:tab w:leader="none" w:pos="16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9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621" w:right="239" w:bottom="1440" w:gutter="0" w:footer="0" w:header="0"/>
        </w:sectPr>
      </w:pPr>
    </w:p>
    <w:bookmarkStart w:id="239" w:name="page240"/>
    <w:bookmarkEnd w:id="239"/>
    <w:p>
      <w:pPr>
        <w:jc w:val="both"/>
        <w:ind w:firstLine="1305"/>
        <w:spacing w:after="0" w:line="261" w:lineRule="auto"/>
        <w:tabs>
          <w:tab w:leader="none" w:pos="170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Initial Credit Events</w:t>
      </w:r>
      <w:r>
        <w:rPr>
          <w:rFonts w:ascii="Times New Roman" w:cs="Times New Roman" w:eastAsia="Times New Roman" w:hAnsi="Times New Roman"/>
          <w:sz w:val="18"/>
          <w:szCs w:val="18"/>
          <w:color w:val="auto"/>
        </w:rPr>
        <w:t>. The obligations of the Lenders to make Loans and of the Issuing Banks to issue Letters of Credit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are subject to each of the following conditions being satisfied on or prior to the Closing Date:</w:t>
      </w:r>
    </w:p>
    <w:p>
      <w:pPr>
        <w:spacing w:after="0" w:line="207" w:lineRule="exact"/>
        <w:rPr>
          <w:sz w:val="20"/>
          <w:szCs w:val="20"/>
          <w:color w:val="auto"/>
        </w:rPr>
      </w:pPr>
    </w:p>
    <w:p>
      <w:pPr>
        <w:jc w:val="both"/>
        <w:ind w:firstLine="1305"/>
        <w:spacing w:after="0" w:line="266" w:lineRule="auto"/>
        <w:tabs>
          <w:tab w:leader="none" w:pos="17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(i) each party thereto either (A) a counterpart of this Agreement signed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8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executed legal opinions of Cravath, Swaine &amp; Moore LLP, special New York counsel to Mylan, in form reasonably satisfactory to the Administrative Agent, and Bradley L. Wideman, Esq., Associate General Counsel Securities to Mylan, in a form reasonably satisfactory to the Administrative Agent. Mylan hereby requests such counsel to deliver such opinion;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customary closing documents and certificates as the Administrative Agent or its counsel may reasonably request relating to the organization, existence and good standing of Mylan, the authorization of the Transactions and any other legal matters relating to Mylan, the Loan Documents or the Transactions, all in form and substance reasonably satisfactory to the Administrative Agent and its counsel;</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reasonably satisfactory to it that substantially concurrently with the making of the initial Loans hereunder, all Indebtedness under the Existing Credit Agreement and all other amounts payable hereunder have been paid in full and all commitments to extend credit thereunder shall have terminated;</w:t>
      </w:r>
    </w:p>
    <w:p>
      <w:pPr>
        <w:spacing w:after="0" w:line="176" w:lineRule="exact"/>
        <w:rPr>
          <w:rFonts w:ascii="Times New Roman" w:cs="Times New Roman" w:eastAsia="Times New Roman" w:hAnsi="Times New Roman"/>
          <w:sz w:val="18"/>
          <w:szCs w:val="18"/>
          <w:color w:val="auto"/>
        </w:rPr>
      </w:pPr>
    </w:p>
    <w:p>
      <w:pPr>
        <w:ind w:right="20" w:firstLine="1305"/>
        <w:spacing w:after="0" w:line="282" w:lineRule="auto"/>
        <w:tabs>
          <w:tab w:leader="none" w:pos="170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attesting to the Solvency of Mylan and its Subsidiaries (taken as a whole) on the Closing Date after giving effect to the Transactions, from a Financial Officer of Mylan;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621" w:right="239" w:bottom="1440" w:gutter="0" w:footer="0" w:header="0"/>
        </w:sectPr>
      </w:pPr>
    </w:p>
    <w:bookmarkStart w:id="240" w:name="page241"/>
    <w:bookmarkEnd w:id="240"/>
    <w:p>
      <w:pPr>
        <w:ind w:firstLine="1305"/>
        <w:spacing w:after="0" w:line="282" w:lineRule="auto"/>
        <w:tabs>
          <w:tab w:leader="none" w:pos="173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on or prior to the Closing Date all documentation and other information reasonably requested in writing by them at least two business days prior to the Closing Date in order to allow the Lenders to comply with the Act;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Arrangers shall have received all fees and other amounts due and payable on or prior to the Closing Date, including, to the extent invoiced, reimbursement or payment of all reasonable out-of-pocket expenses required to be reimbursed or paid by Mylan hereunder;</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7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Notes executed by Mylan in favor of each Lender requesting Notes at least three Business Days prior to the Closing Date;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5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signed by a Responsible Officer of Mylan certifying (A) that the conditions specified in Sections 4.02(a) and (b)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provisions of the last sentence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Subsequent Credit Events</w:t>
      </w:r>
      <w:r>
        <w:rPr>
          <w:rFonts w:ascii="Times New Roman" w:cs="Times New Roman" w:eastAsia="Times New Roman" w:hAnsi="Times New Roman"/>
          <w:sz w:val="18"/>
          <w:szCs w:val="18"/>
          <w:color w:val="auto"/>
        </w:rPr>
        <w:t>. The obligation of each Lender to make a Loan on the occasion of any Borrowing (but not a conversion or continuation of Loans), and of the Issuing Banks to issue, amend, renew or extend any Letter of Credit, in each case, following the Closing Date is subject to the satisfaction of the following conditions:</w:t>
      </w:r>
    </w:p>
    <w:p>
      <w:pPr>
        <w:spacing w:after="0" w:line="176" w:lineRule="exact"/>
        <w:rPr>
          <w:sz w:val="20"/>
          <w:szCs w:val="20"/>
          <w:color w:val="auto"/>
        </w:rPr>
      </w:pPr>
    </w:p>
    <w:p>
      <w:pPr>
        <w:jc w:val="both"/>
        <w:ind w:firstLine="1305"/>
        <w:spacing w:after="0" w:line="256" w:lineRule="auto"/>
        <w:tabs>
          <w:tab w:leader="none" w:pos="167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 (i) where any representation and warranty is expressly made as of a specific earlier date, such representation and warranty shall be true in all material respects as of any such earlier date and (ii) the representations and warranties set forth in Section 3.04(b) and 3.06 shall not be required to be made for any Credit Event following the Closing Date (but shall be required to be made on the date any Increased Commitments are established).</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68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621" w:right="239" w:bottom="1440" w:gutter="0" w:footer="0" w:header="0"/>
        </w:sectPr>
      </w:pPr>
    </w:p>
    <w:bookmarkStart w:id="241" w:name="page242"/>
    <w:bookmarkEnd w:id="241"/>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renewal or extension of a Letter of Credit shall be deemed to constitute a representation and warranty by the Borrowers on the date thereof as to the matters specified in paragraphs (a) and (b) of this Section 4.02.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 and all LC Disbursements shall have been reimbursed, the Company covenants and agrees with the Lenders that: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Company will furnish to the Administrative Agent (who shall promptly furnish a copy to each Lender):</w:t>
      </w:r>
    </w:p>
    <w:p>
      <w:pPr>
        <w:spacing w:after="0" w:line="162" w:lineRule="exact"/>
        <w:rPr>
          <w:sz w:val="20"/>
          <w:szCs w:val="20"/>
          <w:color w:val="auto"/>
        </w:rPr>
      </w:pPr>
    </w:p>
    <w:p>
      <w:pPr>
        <w:jc w:val="both"/>
        <w:ind w:firstLine="1305"/>
        <w:spacing w:after="0" w:line="255" w:lineRule="auto"/>
        <w:tabs>
          <w:tab w:leader="none" w:pos="170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ninety (90) days after the end of each fiscal year of the Company, commencing with the fiscal year ending December 31, 2014, the audited consolidated balance sheet of the Company and its Consolidated Subsidiaries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Company and its Consolidated Subsidiaries on a consolidated basis in accordance with GAAP;</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forty-five (45) days after the end of each of the first three fiscal quarters of each fiscal year of the Company, commencing with the fiscal quarter ending March 30, 2015, the unaudited consolidated balance sheet of the Company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Company and its Consolidated Subsidiaries on a consolidated basis in accordance with GAAP, subject to normal year-end audit adjustments and the absence of footnotes;</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executed by a Financial Officer of the Company (x) certifying as to whether, to the knowledge of such Financial Officer after reasonable inquiry, a Default has occurred and is continuing and, if so, specifying the details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621" w:right="239" w:bottom="1440" w:gutter="0" w:footer="0" w:header="0"/>
        </w:sectPr>
      </w:pPr>
    </w:p>
    <w:bookmarkStart w:id="242" w:name="page243"/>
    <w:bookmarkEnd w:id="242"/>
    <w:p>
      <w:pPr>
        <w:ind w:right="20"/>
        <w:spacing w:after="0" w:line="282" w:lineRule="auto"/>
        <w:rPr>
          <w:sz w:val="20"/>
          <w:szCs w:val="20"/>
          <w:color w:val="auto"/>
        </w:rPr>
      </w:pPr>
      <w:r>
        <w:rPr>
          <w:rFonts w:ascii="Times New Roman" w:cs="Times New Roman" w:eastAsia="Times New Roman" w:hAnsi="Times New Roman"/>
          <w:sz w:val="18"/>
          <w:szCs w:val="18"/>
          <w:color w:val="auto"/>
        </w:rPr>
        <w:t>thereof and any action taken or proposed to be taken with respect thereto; and (y) setting forth reasonably detailed calculations demonstrating compliance with Section 6.07;</w:t>
      </w:r>
    </w:p>
    <w:p>
      <w:pPr>
        <w:spacing w:after="0" w:line="162" w:lineRule="exact"/>
        <w:rPr>
          <w:sz w:val="20"/>
          <w:szCs w:val="20"/>
          <w:color w:val="auto"/>
        </w:rPr>
      </w:pPr>
    </w:p>
    <w:p>
      <w:pPr>
        <w:ind w:left="1700" w:hanging="395"/>
        <w:spacing w:after="0"/>
        <w:tabs>
          <w:tab w:leader="none" w:pos="1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67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annual, quarterly and current reports and proxy statements filed by the Company or any Subsidiary with the SEC, or any Governmental Authority succeeding to any or all of the functions of the SEC;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or any Lender (through the Administrative Agent) may reasonably request.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and other information required to be delivered pursuant to Sections 5.01(a), 5.01(b) and 5.01(e) shall be deemed to have been delivered if such statements and information shall have been posted by the Company on its website or shall have been posted on IntraLinks or similar site to which all of the Lenders have been granted access or are publicly available on the SEC’s website pursuant to the EDGAR system.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that (a) the Administrative Agent will make available information to the Lenders by posting such information on DebtDomain, IntraLinks, Syndtrak, ClearPar, or similar electronic means and (b) certain of the Lenders may be “public side” Lenders (i.e., Lenders that do not wish to receive material non-public information with respect to the Company, its Subsidiaries or their securities) (each, a “Public Lender”). The Company agrees to identify that portion of the information to be provided to Public Lenders hereunder as “PUBLIC” and that such information will not contain material non-public information relating to the Company or its Subsidiaries (or any of their securities).</w:t>
      </w:r>
    </w:p>
    <w:p>
      <w:pPr>
        <w:spacing w:after="0" w:line="18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Company will furnish to the Administrative Agent (for prompt notification to each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 (but in any event within five (5) Business Days) written notice after any Financial Officer of the Company obtains knowledge of the following:</w:t>
      </w:r>
    </w:p>
    <w:p>
      <w:pPr>
        <w:spacing w:after="0" w:line="207" w:lineRule="exact"/>
        <w:rPr>
          <w:sz w:val="20"/>
          <w:szCs w:val="20"/>
          <w:color w:val="auto"/>
        </w:rPr>
      </w:pPr>
    </w:p>
    <w:p>
      <w:pPr>
        <w:ind w:left="1680" w:hanging="375"/>
        <w:spacing w:after="0"/>
        <w:tabs>
          <w:tab w:leader="none" w:pos="16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continuing Default;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Company or any Subsidiary thereof that could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4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Company setting forth the details of the event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621"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development requiring such notice and any action taken or proposed to be taken with respect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Company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could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 that is not otherwise prohibited under Section 6.03.</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Company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Company or such Subsidiary has set aside on its books reserves with respect thereto to the extent required by GAAP or (b) the failure to make payment could not reasonably be expected to, individually or in the aggregate, result in a Material Adverse Effect.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The Company will, and will cause each of its Material Subsidiaries to, (a) keep and maintain all Property material to the conduct of its business in good working order and condition, ordinary wear and tear excepted and casualty or condemnation excepted, except if the failure to do so could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The Company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Company, all at such reasonable times and as often as reasonably requested and in all cases subject to applicable Law and the terms of applicable confidentiality agreements and to the extent the Company reasonably determines that such inspection, examination or discussion will not violate or result in the waiver of any attorney-client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Company the opportunity to participate in any discussions with the Company’s independent accountants.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will, and will cause each of its Subsidiaries to, comply with all laws, rules, regulations and orders of any Governmental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621" w:right="239" w:bottom="1440" w:gutter="0" w:footer="0" w:header="0"/>
        </w:sectPr>
      </w:pPr>
    </w:p>
    <w:bookmarkStart w:id="244" w:name="page245"/>
    <w:bookmarkEnd w:id="244"/>
    <w:p>
      <w:pPr>
        <w:jc w:val="both"/>
        <w:spacing w:after="0" w:line="282" w:lineRule="auto"/>
        <w:rPr>
          <w:sz w:val="20"/>
          <w:szCs w:val="20"/>
          <w:color w:val="auto"/>
        </w:rPr>
      </w:pPr>
      <w:r>
        <w:rPr>
          <w:rFonts w:ascii="Times New Roman" w:cs="Times New Roman" w:eastAsia="Times New Roman" w:hAnsi="Times New Roman"/>
          <w:sz w:val="18"/>
          <w:szCs w:val="18"/>
          <w:color w:val="auto"/>
        </w:rPr>
        <w:t>Authority applicable to it or its property (including Environmental Laws), except where the failure to do so, individually or in the aggregate, could not reasonably be expected to result in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The proceeds of Loans and other Credit Events will be used to finance the working capital needs, and for general corporate purposes (including refinancing of existing Indebtedness, acquisitions and other investments), of the Company and its Subsidiaries. No part of the proceeds of any Loan will be used, whether directly or indirectly, for any purpose that entails a violation of any of the Regulations of the Board, including Regulations T, U and X.</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4" w:lineRule="auto"/>
        <w:tabs>
          <w:tab w:leader="none" w:pos="168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the Specified Acquisition Transaction, in the event that any Domestic Subsidiary of Mylan incurs (as co-borrower or co-issuer with Mylan) or guarantees any Indebtedness of Mylan owed to a Person other than a Subsidiary in excess of an aggregate principal amount of $350,000,000 for all such Indebtedness of such Subsidiary, then Mylan shall cause each such Subsidiary to Guarantee the Obligations in favor of the Administrative Agent for the benefit of the Administrative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Administrative Agent receives evidence reasonably satisfactory to it that any such Guarantor has been released from such obligations of Mylan in excess of an aggregate principal amount of $350,000,000 for all such Indebtedness of such Subsidiary, then at the request of the Company, such Guarantor shall be released from the Guarantee Agreement (and for the avoidance of doubt, such release shall not require the approval of the Lenders) so long as at the time of and after giving effect to such release, all of such Subsidiary’s then outstanding Indebtedness would then be permitted to be incurred at such time under Section 6.01 (treating, for this purpose, all Indebtedness of such Subsidiary as being incurred at the time of such release).</w:t>
      </w:r>
    </w:p>
    <w:p>
      <w:pPr>
        <w:spacing w:after="0" w:line="18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Specified Acquisition Transaction:</w:t>
      </w:r>
    </w:p>
    <w:p>
      <w:pPr>
        <w:spacing w:after="0" w:line="225" w:lineRule="exact"/>
        <w:rPr>
          <w:rFonts w:ascii="Times New Roman" w:cs="Times New Roman" w:eastAsia="Times New Roman" w:hAnsi="Times New Roman"/>
          <w:sz w:val="18"/>
          <w:szCs w:val="18"/>
          <w:color w:val="auto"/>
        </w:rPr>
      </w:pPr>
    </w:p>
    <w:p>
      <w:pPr>
        <w:jc w:val="both"/>
        <w:ind w:firstLine="1953"/>
        <w:spacing w:after="0" w:line="255" w:lineRule="auto"/>
        <w:tabs>
          <w:tab w:leader="none" w:pos="239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to the extent New Mylan is not designated as either (x) a Designated Borrower pursuant to Section 2.21 or (y) a Successor Borrower, New Mylan shall substantially concurrently with the consummation of the Specified Acquisition Transaction, Guarantee the Obligations in favor of the Administrative Agent for the benefit of the Administrative Agent and the Lenders and shall deliver to the Administrative Agent (A) a joinder to this Agreement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(B) all documents and other information reasonably requested by the Lenders in order to allow the Lenders to comply with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and</w:t>
      </w:r>
    </w:p>
    <w:p>
      <w:pPr>
        <w:spacing w:after="0" w:line="189" w:lineRule="exact"/>
        <w:rPr>
          <w:rFonts w:ascii="Times New Roman" w:cs="Times New Roman" w:eastAsia="Times New Roman" w:hAnsi="Times New Roman"/>
          <w:sz w:val="18"/>
          <w:szCs w:val="18"/>
          <w:color w:val="auto"/>
        </w:rPr>
      </w:pPr>
    </w:p>
    <w:p>
      <w:pPr>
        <w:ind w:firstLine="1953"/>
        <w:spacing w:after="0" w:line="282" w:lineRule="auto"/>
        <w:tabs>
          <w:tab w:leader="none" w:pos="235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Subsidiary of New Mylan incurs (as co-borrower or co-issuer with Mylan or New Mylan, as applicable) or guarantees any Indebtedness of Mylan or New Mylan, as applicable, owed to a Person other than Mylan, New Mylan or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621" w:right="239" w:bottom="1440" w:gutter="0" w:footer="0" w:header="0"/>
        </w:sectPr>
      </w:pPr>
    </w:p>
    <w:bookmarkStart w:id="245" w:name="page246"/>
    <w:bookmarkEnd w:id="24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Subsidiary, in excess of an aggregate principal amount of $350,000,000 for all such Indebtedness of such Subsidiary with respect to Mylan or New Mylan, then New Mylan shall cause each such Subsidiary to Guarantee the Obligations in favor of the Administrative Agent for the benefit of the Administrative Agent and the Lenders and shall cause each such Subsidiary to deliver to the Administrative Agent (A) a joinder to this Agreement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(B) all documents and other information reasonably requested by the Lenders in order to allow the Lenders to comply with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(i) Mylan and New Mylan are not each a Borrower under this Agreement (either Mylan or New Mylan, as applicable, that is not then a Borrower, the “</w:t>
      </w:r>
      <w:r>
        <w:rPr>
          <w:rFonts w:ascii="Times New Roman" w:cs="Times New Roman" w:eastAsia="Times New Roman" w:hAnsi="Times New Roman"/>
          <w:sz w:val="18"/>
          <w:szCs w:val="18"/>
          <w:u w:val="single" w:color="auto"/>
          <w:color w:val="auto"/>
        </w:rPr>
        <w:t>Non-Borrower Party</w:t>
      </w:r>
      <w:r>
        <w:rPr>
          <w:rFonts w:ascii="Times New Roman" w:cs="Times New Roman" w:eastAsia="Times New Roman" w:hAnsi="Times New Roman"/>
          <w:sz w:val="18"/>
          <w:szCs w:val="18"/>
          <w:color w:val="auto"/>
        </w:rPr>
        <w:t xml:space="preserve">”) and (ii) the applicable Indebtedness guaranteed by such Subsidiary is only of the Non-Borrower Party, such Subsidiary shall not be required to guarantee the Obligations if New Mylan reasonably determines that such Guarantee is prohibited by, or would be unduly burdensome under, applicable Laws or would result in an adverse tax consequence to New Mylan or any of its Subsidiaries (it being understood that any such guarantee of Indebtedness by such Subsidiary shall be subject to the provisions of Section 6.01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that the Administrative Agent receives evidence reasonably satisfactory to it that any such Guarantor has been released from such obligations in excess of an aggregate principal amount of $350,000,000 for all such Indebtedness of such Subsidiary, then at the request of the Company, such Guarantor shall be released from the Guarantee Agreement (and for the avoidance of doubt, such release shall not require the approval of the Lenders) so long as at the time of and after giving effect to such release, all of such Guarantor’s then outstanding Indebtedness would then be permitted to be incurred at such time under Section 6.01 (other than, in the case of Mylan, Section 6.01(p)) (treating, for this purpose, all Indebtedness of such Guarantor as being incurred at the time of such release).</w:t>
      </w:r>
    </w:p>
    <w:p>
      <w:pPr>
        <w:spacing w:after="0" w:line="195" w:lineRule="exact"/>
        <w:rPr>
          <w:sz w:val="20"/>
          <w:szCs w:val="20"/>
          <w:color w:val="auto"/>
        </w:rPr>
      </w:pPr>
    </w:p>
    <w:p>
      <w:pPr>
        <w:jc w:val="both"/>
        <w:ind w:firstLine="1305"/>
        <w:spacing w:after="0" w:line="261" w:lineRule="auto"/>
        <w:tabs>
          <w:tab w:leader="none" w:pos="17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release provisions in Section 5.09(b)(ii), concurrently with the release of Mylan from its obligations as a “Borrower” under this Agreement pursuant to Section 2.23, Mylan shall Guarantee the Obligations in favor of the Administrative Agent for the benefit of the Administrative Agent and the Lenders and shall constitute a “Guarantor” for all purposes under this Agreement and shall deliver an affirmation agreement and such other documentation in connection with such Guarantee as may be otherwise required under applicable Laws.</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subject to the release provided in Section 5.09(c), Mylan will, at all times, be a Loan Party under this Agreement and (ii) following the consummation of the Specified Acquisition Transaction, New Mylan will, at all times, be a Loan Party under this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621" w:right="2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the Closing Date until the Commitments have expired or terminated and the principal of and interest on each Loan and all fees payable hereunder have been paid in full and all Letters of Credit have expired or terminated or been Cash Collateralized on terms satisfactory to the Issuing Bank and all LC Disbursements shall have been reimbursed, the Company covenants and agrees with the Lenders that:</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will not permit any Subsidiary that is not a Loan Party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07" w:lineRule="exact"/>
        <w:rPr>
          <w:sz w:val="20"/>
          <w:szCs w:val="20"/>
          <w:color w:val="auto"/>
        </w:rPr>
      </w:pPr>
    </w:p>
    <w:p>
      <w:pPr>
        <w:ind w:left="1680" w:hanging="375"/>
        <w:spacing w:after="0"/>
        <w:tabs>
          <w:tab w:leader="none" w:pos="168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4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that could be incurred on the Closing Date pursuant to commitments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Permitted Refinancing Indebtedness in respect of Indebtedness permitted by this clause (b)</w:t>
      </w:r>
    </w:p>
    <w:p>
      <w:pPr>
        <w:spacing w:after="0" w:line="161"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70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any Subsidiary that is not a Loan Party owing to (x) a Loan Party or (y) any other Subsidiary; and (ii) Guarantees of Indebtedness of any other Subsidiary that is not a Loan Party by any other Subsidiary, to the extent such Indebtedness is otherwise permitted under this Agreement;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3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5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the greater of (x) $150,000,000 and (y) 1.05% of Consolidated Total Assets, determined as of the last day of the 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8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97"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0" w:lineRule="exact"/>
        <w:rPr>
          <w:rFonts w:ascii="Times New Roman" w:cs="Times New Roman" w:eastAsia="Times New Roman" w:hAnsi="Times New Roman"/>
          <w:sz w:val="18"/>
          <w:szCs w:val="18"/>
          <w:color w:val="auto"/>
        </w:rPr>
      </w:pPr>
    </w:p>
    <w:p>
      <w:pPr>
        <w:ind w:firstLine="1305"/>
        <w:spacing w:after="0" w:line="282" w:lineRule="auto"/>
        <w:tabs>
          <w:tab w:leader="none" w:pos="165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Attributable Receivables Indebtedness thereunder shall not exceed at any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621"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t>outstanding (x) $600,000,000, in the case of all Domestic Subsidiaries and (y) $250,000,000, in the case of all other Subsidiaries;</w:t>
      </w:r>
    </w:p>
    <w:p>
      <w:pPr>
        <w:spacing w:after="0" w:line="225" w:lineRule="exact"/>
        <w:rPr>
          <w:sz w:val="20"/>
          <w:szCs w:val="20"/>
          <w:color w:val="auto"/>
        </w:rPr>
      </w:pPr>
    </w:p>
    <w:p>
      <w:pPr>
        <w:ind w:left="1700" w:hanging="395"/>
        <w:spacing w:after="0"/>
        <w:tabs>
          <w:tab w:leader="none" w:pos="1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Swap Agreements entered into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76"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judgments, decrees, attachments or awards that do not constitute an Event of Default under clause (k)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4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denominated in currencies other than Dollars in an aggregate amount outstanding not to exceed the greater of the foreign currency equivalent of (x) $125,000,000 and (y) 0.85% of Consolidated Total Assets, determined as of the last day of the most recent fiscal quarter prior to the date such Indebtedness is incurred for which financial statements have been delivered pursuant to Section 5.01(a) or (b);</w:t>
      </w:r>
    </w:p>
    <w:p>
      <w:pPr>
        <w:spacing w:after="0" w:line="17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card obligations, netting services, overdraft protections and similar arrangements in each case in connection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deposit accounts;</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4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(x) the financing of insurance premiums with the providers of such insurance or their affiliates or (y)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Jurisdiction Deposits;</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$900,000,000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87" w:lineRule="exact"/>
        <w:rPr>
          <w:rFonts w:ascii="Times New Roman" w:cs="Times New Roman" w:eastAsia="Times New Roman" w:hAnsi="Times New Roman"/>
          <w:sz w:val="18"/>
          <w:szCs w:val="18"/>
          <w:color w:val="auto"/>
        </w:rPr>
      </w:pPr>
    </w:p>
    <w:p>
      <w:pPr>
        <w:ind w:right="20" w:firstLine="1305"/>
        <w:spacing w:after="0" w:line="282" w:lineRule="auto"/>
        <w:tabs>
          <w:tab w:leader="none" w:pos="169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 Person existing at the time such Person becomes a Subsidiary and not created in contemplation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621" w:right="239" w:bottom="1440" w:gutter="0" w:footer="0" w:header="0"/>
        </w:sectPr>
      </w:pPr>
    </w:p>
    <w:bookmarkStart w:id="248" w:name="page249"/>
    <w:bookmarkEnd w:id="248"/>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of such Person, on a Pro Forma Basis, the Borrowers would be in compliance with Section 6.07 as of the last day of the most recent fiscal year or fiscal quarter for which financial statements have been delivered pursuant to Section 5.01(a) or 5.10(b) and (ii) any Permitted Refinancing Indebtedness in respect of Indebtedness permitted by this clause (p);</w:t>
      </w:r>
    </w:p>
    <w:p>
      <w:pPr>
        <w:spacing w:after="0" w:line="176" w:lineRule="exact"/>
        <w:rPr>
          <w:sz w:val="20"/>
          <w:szCs w:val="20"/>
          <w:color w:val="auto"/>
        </w:rPr>
      </w:pPr>
    </w:p>
    <w:p>
      <w:pPr>
        <w:ind w:left="1700" w:hanging="395"/>
        <w:spacing w:after="0"/>
        <w:tabs>
          <w:tab w:leader="none" w:pos="17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225"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Investments permitted by Section 6.05(q); and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8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(r) above; and</w:t>
      </w:r>
    </w:p>
    <w:p>
      <w:pPr>
        <w:spacing w:after="0" w:line="159" w:lineRule="exact"/>
        <w:rPr>
          <w:rFonts w:ascii="Times New Roman" w:cs="Times New Roman" w:eastAsia="Times New Roman" w:hAnsi="Times New Roman"/>
          <w:sz w:val="18"/>
          <w:szCs w:val="18"/>
          <w:color w:val="auto"/>
        </w:rPr>
      </w:pPr>
    </w:p>
    <w:p>
      <w:pPr>
        <w:ind w:right="140" w:firstLine="1305"/>
        <w:spacing w:after="0" w:line="284" w:lineRule="auto"/>
        <w:tabs>
          <w:tab w:leader="none" w:pos="16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by operation of Law as a result of the existence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of which any Subsidiary is or has been a member.</w:t>
      </w:r>
    </w:p>
    <w:p>
      <w:pPr>
        <w:spacing w:after="0" w:line="160"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Company will not, and will not permit any Subsidiary to, create, incur, assume or permit to exist any Lien on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now owned or hereafter acquired by it, except:</w:t>
      </w:r>
    </w:p>
    <w:p>
      <w:pPr>
        <w:spacing w:after="0" w:line="207" w:lineRule="exact"/>
        <w:rPr>
          <w:sz w:val="20"/>
          <w:szCs w:val="20"/>
          <w:color w:val="auto"/>
        </w:rPr>
      </w:pPr>
    </w:p>
    <w:p>
      <w:pPr>
        <w:ind w:left="1680" w:hanging="375"/>
        <w:spacing w:after="0"/>
        <w:tabs>
          <w:tab w:leader="none" w:pos="1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5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of the Company or any Subsidiary existing on the Closing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of the Company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83"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7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prior to the acquisition thereof by the Company or any Subsidiary or existing on any Property of any Person that becomes a Subsidiary after the Closing Date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(ii) such Lien shall not apply to any other Property of the Company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7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fixed or capital assets acquired, constructed, repaired, replaced or improved by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incurred to fund the acquisition of such assets in an aggregate principal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621" w:right="239" w:bottom="1440" w:gutter="0" w:footer="0" w:header="0"/>
        </w:sectPr>
      </w:pPr>
    </w:p>
    <w:bookmarkStart w:id="249" w:name="page250"/>
    <w:bookmarkEnd w:id="24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amount not to exceed the greater of $150,000,000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Company or any Subsidiary, except for accessions to such fixed or capital assets covered by such Lien, Property financed by such Indebtedness and the proceeds and products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fixed or capital assets provided by one lender may be cross-collateralized to other financings of fixed or capital assets provided by such lender;</w:t>
      </w:r>
    </w:p>
    <w:p>
      <w:pPr>
        <w:spacing w:after="0" w:line="185" w:lineRule="exact"/>
        <w:rPr>
          <w:sz w:val="20"/>
          <w:szCs w:val="20"/>
          <w:color w:val="auto"/>
        </w:rPr>
      </w:pPr>
    </w:p>
    <w:p>
      <w:pPr>
        <w:jc w:val="both"/>
        <w:ind w:firstLine="1305"/>
        <w:spacing w:after="0" w:line="261" w:lineRule="auto"/>
        <w:tabs>
          <w:tab w:leader="none" w:pos="170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7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Receivables and Permitted Receivables Facility Assets securing Indebtedness arising under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$600,000,000, in the case of all Domestic Subsidiaries and (y) $250,000,000, in the case of all other Subsidiaries;</w:t>
      </w:r>
    </w:p>
    <w:p>
      <w:pPr>
        <w:spacing w:after="0" w:line="180"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“earnest money” or similar deposits or other cash advances in connection with acquisitions permitted by Section 6.05 or</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9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an agreement to dispose of any Property in a disposition permitted under this Agreement including customary rights and restrictions contained in such agreements;</w:t>
      </w:r>
    </w:p>
    <w:p>
      <w:pPr>
        <w:spacing w:after="0" w:line="17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assets securing Indebtedness permitted by Section 6.01(g);</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66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in the ordinary course of business which do not (i) interfere in any material respect with the business of the Company or any Subsidiary or (ii) secure any Indebtedness;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5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Uniform Commercial Code on items in the course of collection and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621" w:right="239" w:bottom="1440" w:gutter="0" w:footer="0" w:header="0"/>
        </w:sectPr>
      </w:pPr>
    </w:p>
    <w:bookmarkStart w:id="250" w:name="page251"/>
    <w:bookmarkEnd w:id="250"/>
    <w:p>
      <w:pPr>
        <w:spacing w:after="0" w:line="282" w:lineRule="auto"/>
        <w:rPr>
          <w:sz w:val="20"/>
          <w:szCs w:val="20"/>
          <w:color w:val="auto"/>
        </w:rPr>
      </w:pPr>
      <w:r>
        <w:rPr>
          <w:rFonts w:ascii="Times New Roman" w:cs="Times New Roman" w:eastAsia="Times New Roman" w:hAnsi="Times New Roman"/>
          <w:sz w:val="18"/>
          <w:szCs w:val="18"/>
          <w:color w:val="auto"/>
        </w:rPr>
        <w:t>accounts or other commodities brokerage accounts incurred in the ordinary course of business, including Liens encumbering reasonable customary initial deposits and margin deposits;</w:t>
      </w:r>
    </w:p>
    <w:p>
      <w:pPr>
        <w:spacing w:after="0" w:line="162" w:lineRule="exact"/>
        <w:rPr>
          <w:sz w:val="20"/>
          <w:szCs w:val="20"/>
          <w:color w:val="auto"/>
        </w:rPr>
      </w:pPr>
    </w:p>
    <w:p>
      <w:pPr>
        <w:ind w:firstLine="1305"/>
        <w:spacing w:after="0" w:line="282" w:lineRule="auto"/>
        <w:tabs>
          <w:tab w:leader="none" w:pos="164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a Loan Party 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permitted under Section 6.05;</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0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relating to purchase orders and other agreements entered into with customers of the Company or any Subsidiary in the ordinary course of business;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72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owned by the Company or any Subsidiary and located on the premises of any supplier and used in the ordinary course of business and not securing Indebtedness;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encumbrance with respect to the pledge or transfer of the Equity Interests of a joint venture;</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not otherwise permitted by this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 (r) 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$900,000,000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87"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the Company or any Subsidiary in favor of the Company or any other Subsidiary;</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0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621" w:right="239" w:bottom="1440" w:gutter="0" w:footer="0" w:header="0"/>
        </w:sectPr>
      </w:pPr>
    </w:p>
    <w:bookmarkStart w:id="251" w:name="page252"/>
    <w:bookmarkEnd w:id="251"/>
    <w:p>
      <w:pPr>
        <w:ind w:left="1700" w:hanging="395"/>
        <w:spacing w:after="0"/>
        <w:tabs>
          <w:tab w:leader="none" w:pos="17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to secure liability to insurance carriers;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6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insurance premiums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unpaid insurance premiums under the insurance policy related to such insurance premium financing arrangement;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Equivalents deposited as Cash Collateral on Letters of Credit as contemplated by this Agreement;</w:t>
      </w:r>
    </w:p>
    <w:p>
      <w:pPr>
        <w:spacing w:after="0" w:line="22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any Subsidiary that is not a Loan Party securing Indebtedness of such Subsidiary that is otherwise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6.01;</w:t>
      </w:r>
    </w:p>
    <w:p>
      <w:pPr>
        <w:spacing w:after="0" w:line="20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has made an investment and Liens on the rights of the Company and its Subsidiaries under any agreement relating to any such investment; and</w:t>
      </w:r>
    </w:p>
    <w:p>
      <w:pPr>
        <w:spacing w:after="0" w:line="174" w:lineRule="exact"/>
        <w:rPr>
          <w:sz w:val="20"/>
          <w:szCs w:val="20"/>
          <w:color w:val="auto"/>
        </w:rPr>
      </w:pPr>
    </w:p>
    <w:p>
      <w:pPr>
        <w:ind w:firstLine="1305"/>
        <w:spacing w:after="0" w:line="284" w:lineRule="auto"/>
        <w:tabs>
          <w:tab w:leader="none" w:pos="176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including any netting or set-off, arising by operation of Law as a result of the existence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of which any Subsidiary is or has been a member.</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No Borrower will merge into or consolidate with or transfer all or substantially all of its assets to any other Person, or permit any other Person to merge into or consolidate with it, or liquidate or dissolve, except that,</w:t>
      </w:r>
    </w:p>
    <w:p>
      <w:pPr>
        <w:spacing w:after="0" w:line="162" w:lineRule="exact"/>
        <w:rPr>
          <w:sz w:val="20"/>
          <w:szCs w:val="20"/>
          <w:color w:val="auto"/>
        </w:rPr>
      </w:pPr>
    </w:p>
    <w:p>
      <w:pPr>
        <w:jc w:val="both"/>
        <w:ind w:firstLine="1305"/>
        <w:spacing w:after="0" w:line="254" w:lineRule="auto"/>
        <w:tabs>
          <w:tab w:leader="none" w:pos="17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thereof and immediately after giving effect thereto no Event of Default shall have occurred and be continuing, any Borrower may be consolidated with or merged into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in connection therewith is otherwise permitted by Section 6.05; and provided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simultaneously with such transaction, (x) the Person formed by such consolidation or into which a Borrower is merged shall expressly assume all obligations of such Borrower under the Loan Documents, (y) the Person formed by such consolidation or into which a Borrower is merged shall be a corporation organized under the laws of either (x) a State in the United States, (y) the jurisdiction of organization of such Borrower or (z) a Permitted Jurisdiction (provided, that, at such time, each Lender shall be permitted under applicable Laws and shall be licensed to make Loans and other applicable extensions of credit to such Person in such Permitted Jurisdiction in accordance with the terms of this Agreement and the other Loan Documents) and shall take all actions as may be required to preserve the enforceability of the Loan Documents and (z) such Borrower shall have delivered to the Administrative Agent an officer’s certificate and an opinion of counsel, each stating that such merger or consolidation and such supplement to this Agreement comply with this Agreement; and</w:t>
      </w:r>
    </w:p>
    <w:p>
      <w:pPr>
        <w:spacing w:after="0" w:line="186"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terms and conditions set forth in the Agreement, Mylan may consummate the Specified Acquisition Transaction.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621" w:right="239" w:bottom="1440" w:gutter="0" w:footer="0" w:header="0"/>
        </w:sectPr>
      </w:pPr>
    </w:p>
    <w:bookmarkStart w:id="252" w:name="page253"/>
    <w:bookmarkEnd w:id="25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Company will not, and will not permit any of its Subsidiaries to, declare or make, or agree to pay or make, directly or indirectly, any Restricted Payment, except (a) the Company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Company may make Restricted Payments pursuant to and in accordance with stock option plans or other benefit plans for present or former officers, directors, consultants or employees of the Company and its Subsidiaries in an amount not to exceed $20,000,000 in any fiscal year (with any unused amount of such base amount available for use in the next succeeding fiscal year); (d) the Company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Company; (g) payments made to exercise, settle or terminate any Permitted Warrant Transaction (A) by delivery of the Company’s common stock, (B) by set-off against the related Permitted Bond Hedge Transaction, or (C) with cash payments in an aggregate amount not to exceed the aggregate amount of any payments received by the Company or any of its Subsidiaries pursuant to the exercise, settlement or termination of any related Permitted Bond Hedge Transaction, less any cash payments made with respect to any related Permitted Convertible Indebtedness and, in the case of any Permitted Warrant Transaction related to the Cash Convertible Notes, any cash payments made, in each case, to the extent that the aggregate amount of such payments exceeds the stated principal amount of the Cash Convertible Notes; (h) payments made in connection with any Permitted Bond Hedge Transaction; and (i) the Company may make Restricted Payments pursuant to the arrangements set forth in Schedule 6.04.</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The Company will not, and will not allow any of its Subsidiaries to make or hold any Investments, except:</w:t>
      </w:r>
    </w:p>
    <w:p>
      <w:pPr>
        <w:spacing w:after="0" w:line="225" w:lineRule="exact"/>
        <w:rPr>
          <w:sz w:val="20"/>
          <w:szCs w:val="20"/>
          <w:color w:val="auto"/>
        </w:rPr>
      </w:pPr>
    </w:p>
    <w:p>
      <w:pPr>
        <w:ind w:left="1680" w:hanging="375"/>
        <w:spacing w:after="0"/>
        <w:tabs>
          <w:tab w:leader="none" w:pos="16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 Subsidiary in cash and Cash Equivalents;</w:t>
      </w:r>
    </w:p>
    <w:p>
      <w:pPr>
        <w:spacing w:after="0" w:line="225" w:lineRule="exact"/>
        <w:rPr>
          <w:rFonts w:ascii="Times New Roman" w:cs="Times New Roman" w:eastAsia="Times New Roman" w:hAnsi="Times New Roman"/>
          <w:sz w:val="18"/>
          <w:szCs w:val="18"/>
          <w:color w:val="auto"/>
        </w:rPr>
      </w:pPr>
    </w:p>
    <w:p>
      <w:pPr>
        <w:jc w:val="both"/>
        <w:ind w:firstLine="1305"/>
        <w:spacing w:after="0" w:line="257" w:lineRule="auto"/>
        <w:tabs>
          <w:tab w:leader="none" w:pos="180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officers, directors, consultants and employees of the Company and the Subsidiaries (i) for reasonable and customary business-related travel, entertainment, relocation and analogous ordinary business purposes, (ii) in connection with such Person’s purchase of Equity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loans and advances shall be contributed to the Company in cash as common equity,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not described in the foregoing subclauses (i) and (ii), in an aggregate principal amount outstanding not to exceed $10,000,000;</w:t>
      </w:r>
    </w:p>
    <w:p>
      <w:pPr>
        <w:spacing w:after="0" w:line="20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any Subsidiary in the Company or any Subsidiary;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621" w:right="239" w:bottom="1440" w:gutter="0" w:footer="0" w:header="0"/>
        </w:sectPr>
      </w:pPr>
    </w:p>
    <w:bookmarkStart w:id="253" w:name="page254"/>
    <w:bookmarkEnd w:id="253"/>
    <w:p>
      <w:pPr>
        <w:jc w:val="both"/>
        <w:ind w:firstLine="1305"/>
        <w:spacing w:after="0" w:line="256" w:lineRule="auto"/>
        <w:tabs>
          <w:tab w:leader="none" w:pos="168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3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or contemplated on the Closing Date and set forth on </w:t>
      </w:r>
      <w:r>
        <w:rPr>
          <w:rFonts w:ascii="Times New Roman" w:cs="Times New Roman" w:eastAsia="Times New Roman" w:hAnsi="Times New Roman"/>
          <w:sz w:val="18"/>
          <w:szCs w:val="18"/>
          <w:u w:val="single" w:color="auto"/>
          <w:color w:val="auto"/>
        </w:rPr>
        <w:t>Schedule 6.05(e)</w:t>
      </w:r>
      <w:r>
        <w:rPr>
          <w:rFonts w:ascii="Times New Roman" w:cs="Times New Roman" w:eastAsia="Times New Roman" w:hAnsi="Times New Roman"/>
          <w:sz w:val="18"/>
          <w:szCs w:val="18"/>
          <w:color w:val="auto"/>
        </w:rPr>
        <w:t xml:space="preserve"> and any modification, replacement, renewal, reinvestment or extension thereof and (ii) Investments existing on the Closing Date by the Company or any Subsidiary in the Company or any other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or as otherwise permitted by this Section 6.05;</w:t>
      </w:r>
    </w:p>
    <w:p>
      <w:pPr>
        <w:spacing w:after="0" w:line="180"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 the ordinary course of business;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8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the Specified Acquisition Transaction (including any Investments held by a Subsidiary acquired in the Specified Acquisition Transaction on the date of such Specified Acquisition Transaction and not made in contemplation of or in connection with the Specified Acquisition Transaction), no Event of Default shall have occurred and be continuing at the time of such Specified Acquisition Transaction, and (ii) with respect to any other Investment, no Event of Default has occurred and is continuing at the time such Investment is made;</w:t>
      </w:r>
    </w:p>
    <w:p>
      <w:pPr>
        <w:spacing w:after="0" w:line="180"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fees or other compensation to officers, directors, consultants or employees,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 of the Company;</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utility and other similar deposits in the ordinary course of business;</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621" w:right="239" w:bottom="1440" w:gutter="0" w:footer="0" w:header="0"/>
        </w:sectPr>
      </w:pPr>
    </w:p>
    <w:bookmarkStart w:id="254" w:name="page255"/>
    <w:bookmarkEnd w:id="254"/>
    <w:p>
      <w:pPr>
        <w:ind w:left="1700" w:hanging="395"/>
        <w:spacing w:after="0"/>
        <w:tabs>
          <w:tab w:leader="none" w:pos="1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Investments in connection with Permitted Receivables Facilities;</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 which constitute Investments;</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limited liability companies formed for the purposes of engaging in activities in the renewable energy sector (including refined coal) that qualify for Federal tax benefits allocable to the Company and its Subsidiaries, including capital contributions and purchase price payments in respect thereof, so long as the Company determines in good faith that the amount of such tax benefits is expected to exceed the amount of such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all Investments made in reliance on this clause (q) exceeds $125,000,000 in any fiscal year of the Company, the Company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Company or such Subsidiary (in the good faith determination of the Company) as could reasonably be obtained on an arm’s-length basis from unrelated third parties, (b) transactions between or among the Company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Company or such Subsidiary, (d) loans and advances to officers, directors, consultants and employees in the ordinary course of business,</w:t>
      </w:r>
    </w:p>
    <w:p>
      <w:pPr>
        <w:spacing w:after="0" w:line="4" w:lineRule="exact"/>
        <w:rPr>
          <w:sz w:val="20"/>
          <w:szCs w:val="20"/>
          <w:color w:val="auto"/>
        </w:rPr>
      </w:pPr>
    </w:p>
    <w:p>
      <w:pPr>
        <w:jc w:val="both"/>
        <w:ind w:firstLine="8"/>
        <w:spacing w:after="0" w:line="251" w:lineRule="auto"/>
        <w:tabs>
          <w:tab w:leader="none" w:pos="24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and other payments permitted under Section 6.04, (f) employment, incentive, benefit, consulting and severance arrangements entered into (i) in the ordinary course of business or (ii) set forth in Schedule 6.06, in each case, with officers, directors, consultants and employees of the Company or its Subsidiaries, (g) the transactions pursuant to the agreements set forth in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or any amendment thereto to the extent such an amendment, taken as a whole, is not adverse to the Lenders in any material respect (as determined in good faith by the Company), (h) the payment of fees and expenses related to the Transactions, (i) the issuance of Qualified Equity Interests of the Company and the granting of registration or other customary rights in connection therewith, (j) the existence of, and the performance by the Company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and similar agreements that it may enter into thereafter,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621" w:right="239" w:bottom="1440" w:gutter="0" w:footer="0" w:header="0"/>
        </w:sectPr>
      </w:pPr>
    </w:p>
    <w:bookmarkStart w:id="255" w:name="page256"/>
    <w:bookmarkEnd w:id="255"/>
    <w:p>
      <w:pPr>
        <w:jc w:val="both"/>
        <w:spacing w:after="0" w:line="254" w:lineRule="auto"/>
        <w:rPr>
          <w:sz w:val="20"/>
          <w:szCs w:val="20"/>
          <w:color w:val="auto"/>
        </w:rPr>
      </w:pPr>
      <w:r>
        <w:rPr>
          <w:rFonts w:ascii="Times New Roman" w:cs="Times New Roman" w:eastAsia="Times New Roman" w:hAnsi="Times New Roman"/>
          <w:sz w:val="18"/>
          <w:szCs w:val="18"/>
          <w:color w:val="auto"/>
        </w:rPr>
        <w:t>provided that the existence of, or the performance by the Company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Company) than any of such documents and agreements as in effect on the Closing Date, (k) consulting services to joint ventures in the ordinary course of business and any other transactions between or among the Company,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Company or any of its Subsidiaries of the nature provided by the Company or any of its Subsidiaries to customers in the ordinary course of business and (o) transactions approved by the Audit Committee of the Board of Directors of the Company in accordance with the Company’s policy regarding related party transactions in effect from time to time.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The Company will not permit the Consolidated Leverage Ratio as of any March 31, June 30, September 30 or December 31 occurring after the Closing Date to exceed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foregoing, for any such date occurring after a Qualified Acquisition, on or prior to the last day of the third full fiscal quarter of the Company after the consummation of such Qualified Acquisition, the Company will not permit the Consolidated Leverage Ratio as of such date to exceed 4.25 to 1.00.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The Company will not, and will not permit any of its Subsidiaries to, engage to any material extent in any business substantially different from the businesses of the type conducted by the Company and its Subsidiaries on the date of execution of this Agreement and businesses reasonably related, ancillary or complementary thereto and reasonable extensions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right="20" w:firstLine="1305"/>
        <w:spacing w:after="0" w:line="282" w:lineRule="auto"/>
        <w:tabs>
          <w:tab w:leader="none" w:pos="172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621" w:right="239" w:bottom="1440" w:gutter="0" w:footer="0" w:header="0"/>
        </w:sectPr>
      </w:pPr>
    </w:p>
    <w:bookmarkStart w:id="256" w:name="page257"/>
    <w:bookmarkEnd w:id="256"/>
    <w:p>
      <w:pPr>
        <w:jc w:val="both"/>
        <w:ind w:firstLine="1305"/>
        <w:spacing w:after="0" w:line="261" w:lineRule="auto"/>
        <w:tabs>
          <w:tab w:leader="none" w:pos="169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80"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covenant, condition or agreement contained in Article VI;</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76" w:lineRule="exact"/>
        <w:rPr>
          <w:rFonts w:ascii="Times New Roman" w:cs="Times New Roman" w:eastAsia="Times New Roman" w:hAnsi="Times New Roman"/>
          <w:sz w:val="18"/>
          <w:szCs w:val="18"/>
          <w:color w:val="auto"/>
        </w:rPr>
      </w:pPr>
    </w:p>
    <w:p>
      <w:pPr>
        <w:jc w:val="both"/>
        <w:ind w:firstLine="1305"/>
        <w:spacing w:after="0" w:line="257" w:lineRule="auto"/>
        <w:tabs>
          <w:tab w:leader="none" w:pos="175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$200,000,000 and any Loan Party or any Material Subsidiary fails to pay such termination value when due after applicable grace periods.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6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or as a result of a casualty event affecting such property or assets;</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7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any Loan Party or any Material Subsidiary or its debts, or of a substantial part of its assets, under any Federal, state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621" w:right="239" w:bottom="1440" w:gutter="0" w:footer="0" w:header="0"/>
        </w:sectPr>
      </w:pPr>
    </w:p>
    <w:bookmarkStart w:id="257" w:name="page258"/>
    <w:bookmarkEnd w:id="257"/>
    <w:p>
      <w:pPr>
        <w:jc w:val="both"/>
        <w:spacing w:after="0" w:line="266" w:lineRule="auto"/>
        <w:rPr>
          <w:sz w:val="20"/>
          <w:szCs w:val="20"/>
          <w:color w:val="auto"/>
        </w:rPr>
      </w:pPr>
      <w:r>
        <w:rPr>
          <w:rFonts w:ascii="Times New Roman" w:cs="Times New Roman" w:eastAsia="Times New Roman" w:hAnsi="Times New Roman"/>
          <w:sz w:val="18"/>
          <w:szCs w:val="18"/>
          <w:color w:val="auto"/>
        </w:rPr>
        <w:t>or foreign bankruptcy, insolvency, receivership or similar law now or hereafter in effect or (ii) the appointment of a receiver, trustee, custodian, sequestrator, conservator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76" w:lineRule="exact"/>
        <w:rPr>
          <w:sz w:val="20"/>
          <w:szCs w:val="20"/>
          <w:color w:val="auto"/>
        </w:rPr>
      </w:pPr>
    </w:p>
    <w:p>
      <w:pPr>
        <w:jc w:val="both"/>
        <w:ind w:firstLine="1305"/>
        <w:spacing w:after="0" w:line="256" w:lineRule="auto"/>
        <w:tabs>
          <w:tab w:leader="none" w:pos="172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68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become generally unable, admit in writing its inability generally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5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for the payment of money in an aggregate amount in excess of $200,000,000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 Material Adverse Effect or in the imposition of a Lien or security interest on any assets of the Borrower or any Subsidiary under Sections 401(a)(29) or 430(k) of the Code or under Section 4068 of ERISA;</w:t>
      </w:r>
    </w:p>
    <w:p>
      <w:pPr>
        <w:spacing w:after="0" w:line="17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 or purports in writing to revoke or rescind any Guarantee Agreement, in each case with respect to a material provision of any such Guarantee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621" w:right="239" w:bottom="1440" w:gutter="0" w:footer="0" w:header="0"/>
        </w:sectPr>
      </w:pPr>
    </w:p>
    <w:bookmarkStart w:id="258" w:name="page259"/>
    <w:bookmarkEnd w:id="258"/>
    <w:p>
      <w:pPr>
        <w:jc w:val="both"/>
        <w:spacing w:after="0" w:line="254"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Borrowers,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Borrower accrued hereunder and under the other Loan Documents, shall become due and payable immediately, without presentment, demand, protest or other notice of any kind, all of which are hereby waived by each Borrower; and in case of any event with respect to each Borrower described in clause (h) or (i)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each Borrower.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ind w:firstLine="1305"/>
        <w:spacing w:after="0" w:line="255" w:lineRule="auto"/>
        <w:tabs>
          <w:tab w:leader="none" w:pos="16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hereby irrevocably appoints Bank of America as its agent and authorizes Bank of America to take such actions on its behalf and to exercise such powers as are delegated to the Administrative Agent by the terms hereof and the other Loan Documents, together with such actions and powers as are reasonably incidental thereto. The provisions of this Article are solely for the benefit of the Administrative Agent, the Lenders and the Issuing Bank,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3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Loan Parties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621" w:right="239" w:bottom="1440" w:gutter="0" w:footer="0" w:header="0"/>
        </w:sectPr>
      </w:pPr>
    </w:p>
    <w:bookmarkStart w:id="259" w:name="page260"/>
    <w:bookmarkEnd w:id="259"/>
    <w:p>
      <w:pPr>
        <w:jc w:val="both"/>
        <w:ind w:firstLine="1305"/>
        <w:spacing w:after="0" w:line="252" w:lineRule="auto"/>
        <w:tabs>
          <w:tab w:leader="none" w:pos="177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not have any duties or obligations except those expressly set forth herein and in the other Loan Documents, and its duties hereunder shall be administrative in nature.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herein and in the other Loan Documents, the Administrative Agent shall not have any duty to disclose, and shall not be liable for the failure to disclose, any information relating to the Loan Parties or any of their Subsidiaries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circumstances as provided herein) or in the absence of its own bad faith, gross negligence or willful misconduct as determined by a court of competent jurisdiction by final and nonappealable judgment. The Administrative Agent shall be deemed not to have knowledge of any Default unless and until written notice describing such Default thereof is given to the Administrative Agent by the Borrower, a Lender or the Issuing Bank,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88"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9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be made by the proper Person, and shall not incur any liability for relying thereon. In determining compliance with any condition hereunder to the making of a Loan, or the issuance, extension, renewal or increase of 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621" w:right="239" w:bottom="1440" w:gutter="0" w:footer="0" w:header="0"/>
        </w:sectPr>
      </w:pPr>
    </w:p>
    <w:bookmarkStart w:id="260" w:name="page261"/>
    <w:bookmarkEnd w:id="260"/>
    <w:p>
      <w:pPr>
        <w:jc w:val="both"/>
        <w:spacing w:after="0" w:line="258" w:lineRule="auto"/>
        <w:rPr>
          <w:sz w:val="20"/>
          <w:szCs w:val="20"/>
          <w:color w:val="auto"/>
        </w:rPr>
      </w:pPr>
      <w:r>
        <w:rPr>
          <w:rFonts w:ascii="Times New Roman" w:cs="Times New Roman" w:eastAsia="Times New Roman" w:hAnsi="Times New Roman"/>
          <w:sz w:val="18"/>
          <w:szCs w:val="18"/>
          <w:color w:val="auto"/>
        </w:rPr>
        <w:t>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jc w:val="both"/>
        <w:ind w:firstLine="1305"/>
        <w:spacing w:after="0" w:line="255" w:lineRule="auto"/>
        <w:tabs>
          <w:tab w:leader="none" w:pos="169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may at any time give notice of its resignation to the Lenders, the Issuing Banks and the Company. Upon receipt of any such notice of resignation, the Required Lenders shall have the right, in consultation with the Company and (unless an Event of Default under clause (a), (b), (h) or (i) of Article VII shall have occurred and be continuing) with the consent of the Company (which consent of the Company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Issuing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189"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the Company in consultation with the Lenders shall, unless an Event of Default shall have occurred and be continuing, in which case the Required Lenders in consultation with the Company shall, appoint a successor, which shall be a bank with an office in the United States, or an Affiliate of any such bank with an office in the United States; provided that, without the consent of the Company (not to be unreasonably withheld),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621"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color w:val="auto"/>
        </w:rPr>
        <w:t>Required Lenders shall not be permitted to select a successor that is not a U.S. financial institution described in Treasury Regulation Section 1.1441-1(b)(2)</w:t>
      </w:r>
    </w:p>
    <w:p>
      <w:pPr>
        <w:spacing w:after="0" w:line="27" w:lineRule="exact"/>
        <w:rPr>
          <w:sz w:val="20"/>
          <w:szCs w:val="20"/>
          <w:color w:val="auto"/>
        </w:rPr>
      </w:pPr>
    </w:p>
    <w:p>
      <w:pPr>
        <w:jc w:val="both"/>
        <w:ind w:firstLine="8"/>
        <w:spacing w:after="0" w:line="255" w:lineRule="auto"/>
        <w:tabs>
          <w:tab w:leader="none" w:pos="26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6" w:lineRule="exact"/>
        <w:rPr>
          <w:rFonts w:ascii="Times New Roman" w:cs="Times New Roman" w:eastAsia="Times New Roman" w:hAnsi="Times New Roman"/>
          <w:sz w:val="18"/>
          <w:szCs w:val="18"/>
          <w:color w:val="auto"/>
        </w:rPr>
      </w:pPr>
    </w:p>
    <w:p>
      <w:pPr>
        <w:jc w:val="both"/>
        <w:ind w:firstLine="1953"/>
        <w:spacing w:after="0" w:line="253" w:lineRule="auto"/>
        <w:tabs>
          <w:tab w:leader="none" w:pos="243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Section 9.03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88" w:lineRule="exact"/>
        <w:rPr>
          <w:rFonts w:ascii="Times New Roman" w:cs="Times New Roman" w:eastAsia="Times New Roman" w:hAnsi="Times New Roman"/>
          <w:sz w:val="18"/>
          <w:szCs w:val="18"/>
          <w:color w:val="auto"/>
        </w:rPr>
      </w:pPr>
    </w:p>
    <w:p>
      <w:pPr>
        <w:jc w:val="both"/>
        <w:ind w:firstLine="1953"/>
        <w:spacing w:after="0" w:line="254" w:lineRule="auto"/>
        <w:tabs>
          <w:tab w:leader="none" w:pos="2404"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the Issuing Bank hereunder with respect to all Letters of Credit outstanding as of the effective date of its resignation as Issuing Bank and all Obligations in respect of Letters of Credit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Company of a successor Issuing Bank or Swingline Lender hereunder (which successor shall in all cases be a Lender other than a Defaulting Lender), (a) such successor shall succeed to and become vested with all of the rights, powers, privileges and duties of the retiring Issuing Bank or Swingline Lender, as applicable, (b)</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621" w:right="239" w:bottom="1440" w:gutter="0" w:footer="0" w:header="0"/>
        </w:sectPr>
      </w:pPr>
    </w:p>
    <w:bookmarkStart w:id="262" w:name="page263"/>
    <w:bookmarkEnd w:id="262"/>
    <w:p>
      <w:pPr>
        <w:jc w:val="both"/>
        <w:spacing w:after="0" w:line="261" w:lineRule="auto"/>
        <w:rPr>
          <w:sz w:val="20"/>
          <w:szCs w:val="20"/>
          <w:color w:val="auto"/>
        </w:rPr>
      </w:pPr>
      <w:r>
        <w:rPr>
          <w:rFonts w:ascii="Times New Roman" w:cs="Times New Roman" w:eastAsia="Times New Roman" w:hAnsi="Times New Roman"/>
          <w:sz w:val="18"/>
          <w:szCs w:val="18"/>
          <w:color w:val="auto"/>
        </w:rPr>
        <w:t>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0" w:lineRule="exact"/>
        <w:rPr>
          <w:sz w:val="20"/>
          <w:szCs w:val="20"/>
          <w:color w:val="auto"/>
        </w:rPr>
      </w:pPr>
    </w:p>
    <w:p>
      <w:pPr>
        <w:jc w:val="both"/>
        <w:ind w:firstLine="1305"/>
        <w:spacing w:after="0" w:line="256" w:lineRule="auto"/>
        <w:tabs>
          <w:tab w:leader="none" w:pos="17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4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irrevocably agree that any Guarantor shall be automatically released from its obligations under the applicable Guarantee if such Person ceases to be a Subsidiary as a result of a transaction permitted hereunder.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3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6" w:lineRule="auto"/>
        <w:tabs>
          <w:tab w:leader="none" w:pos="170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621"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color w:val="auto"/>
        </w:rPr>
        <w:t>expressly permitted hereunder to be given by telephone shall be made to the applicable telephone number, as follows:</w:t>
      </w:r>
    </w:p>
    <w:p>
      <w:pPr>
        <w:spacing w:after="0" w:line="225" w:lineRule="exact"/>
        <w:rPr>
          <w:sz w:val="20"/>
          <w:szCs w:val="20"/>
          <w:color w:val="auto"/>
        </w:rPr>
      </w:pPr>
    </w:p>
    <w:p>
      <w:pPr>
        <w:ind w:firstLine="1953"/>
        <w:spacing w:after="0" w:line="282" w:lineRule="auto"/>
        <w:tabs>
          <w:tab w:leader="none" w:pos="232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Loan Party, the Administrative Agent, the Issuing Bank or the Swingline Lender,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480" w:hanging="527"/>
        <w:spacing w:after="0"/>
        <w:tabs>
          <w:tab w:leader="none" w:pos="24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Questionnaire.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4" w:lineRule="exact"/>
        <w:rPr>
          <w:sz w:val="20"/>
          <w:szCs w:val="20"/>
          <w:color w:val="auto"/>
        </w:rPr>
      </w:pPr>
    </w:p>
    <w:p>
      <w:pPr>
        <w:jc w:val="both"/>
        <w:ind w:firstLine="1305"/>
        <w:spacing w:after="0" w:line="256" w:lineRule="auto"/>
        <w:tabs>
          <w:tab w:leader="none" w:pos="17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Bank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the Issuing Bank pursuant to Article II if such Lender or the Issuing Bank, as applicable,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8" w:lineRule="exact"/>
        <w:rPr>
          <w:sz w:val="20"/>
          <w:szCs w:val="20"/>
          <w:color w:val="auto"/>
        </w:rPr>
      </w:pPr>
    </w:p>
    <w:p>
      <w:pPr>
        <w:jc w:val="both"/>
        <w:ind w:firstLine="1305"/>
        <w:spacing w:after="0" w:line="261" w:lineRule="auto"/>
        <w:tabs>
          <w:tab w:leader="none" w:pos="18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621" w:right="239" w:bottom="1440" w:gutter="0" w:footer="0" w:header="0"/>
        </w:sectPr>
      </w:pPr>
    </w:p>
    <w:bookmarkStart w:id="264" w:name="page265"/>
    <w:bookmarkEnd w:id="264"/>
    <w:p>
      <w:pPr>
        <w:jc w:val="both"/>
        <w:spacing w:after="0" w:line="254" w:lineRule="auto"/>
        <w:rPr>
          <w:sz w:val="20"/>
          <w:szCs w:val="20"/>
          <w:color w:val="auto"/>
        </w:rPr>
      </w:pPr>
      <w:r>
        <w:rPr>
          <w:rFonts w:ascii="Times New Roman" w:cs="Times New Roman" w:eastAsia="Times New Roman" w:hAnsi="Times New Roman"/>
          <w:sz w:val="18"/>
          <w:szCs w:val="18"/>
          <w:color w:val="auto"/>
        </w:rPr>
        <w:t>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Loan Party, any Lender, the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any Loan Party, any Lender, the Issuing Bank or any other Person for indirect, special, incidental, consequential or punitive damages (as opposed to direct or actual damages).</w:t>
      </w:r>
    </w:p>
    <w:p>
      <w:pPr>
        <w:spacing w:after="0" w:line="189" w:lineRule="exact"/>
        <w:rPr>
          <w:sz w:val="20"/>
          <w:szCs w:val="20"/>
          <w:color w:val="auto"/>
        </w:rPr>
      </w:pPr>
    </w:p>
    <w:p>
      <w:pPr>
        <w:jc w:val="both"/>
        <w:ind w:firstLine="1305"/>
        <w:spacing w:after="0" w:line="253" w:lineRule="auto"/>
        <w:tabs>
          <w:tab w:leader="none" w:pos="17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Company (with respect to the notice address for the Loan Parties), the Administrative Agent, the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Issuing Bank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92"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Issuing Bank and Lenders</w:t>
      </w:r>
      <w:r>
        <w:rPr>
          <w:rFonts w:ascii="Times New Roman" w:cs="Times New Roman" w:eastAsia="Times New Roman" w:hAnsi="Times New Roman"/>
          <w:sz w:val="18"/>
          <w:szCs w:val="18"/>
          <w:color w:val="auto"/>
        </w:rPr>
        <w:t>. The Administrative Agent, the Issuing Bank and the Lenders shall be entitled to rely and act upon any notices (including telephonic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the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621"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t>may be recorded by the Administrative Agent, and each of the parties hereto hereby consents to such recording.</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4" w:lineRule="auto"/>
        <w:tabs>
          <w:tab w:leader="none" w:pos="169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9" w:lineRule="exact"/>
        <w:rPr>
          <w:rFonts w:ascii="Times New Roman" w:cs="Times New Roman" w:eastAsia="Times New Roman" w:hAnsi="Times New Roman"/>
          <w:sz w:val="18"/>
          <w:szCs w:val="18"/>
          <w:color w:val="auto"/>
        </w:rPr>
      </w:pPr>
    </w:p>
    <w:p>
      <w:pPr>
        <w:jc w:val="both"/>
        <w:ind w:firstLine="1305"/>
        <w:spacing w:after="0" w:line="252" w:lineRule="auto"/>
        <w:tabs>
          <w:tab w:leader="none" w:pos="176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each Lender directly affected thereby, it being understood that a waiver of any condition precedent set forth in Section 4.02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Section 2.12(c) or to waive any obligation of the Borrowers to pay interest at the rate set forth therein, (iii) postpone the scheduled date of payment of the principal amount 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 (v) change any of the provisions of this Section, the definition of “Required Lenders” or the definition of “Alternative Currencies” or any other provision hereof specifying the number or percentage of Lenders required to waive, amend or modify any rights hereunder or make 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621" w:right="239" w:bottom="1440" w:gutter="0" w:footer="0" w:header="0"/>
        </w:sectPr>
      </w:pPr>
    </w:p>
    <w:bookmarkStart w:id="266" w:name="page267"/>
    <w:bookmarkEnd w:id="26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determination or grant any consent hereunder without the written consent of each Lender or (vi) release all or substantially all of the Guarantors from their obligations under any Guarantee Agreement (other than pursuant to the proviso set forth in Section 5.09(a)), without the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w:t>
      </w:r>
    </w:p>
    <w:p>
      <w:pPr>
        <w:spacing w:after="0" w:line="3" w:lineRule="exact"/>
        <w:rPr>
          <w:sz w:val="20"/>
          <w:szCs w:val="20"/>
          <w:color w:val="auto"/>
        </w:rPr>
      </w:pPr>
    </w:p>
    <w:p>
      <w:pPr>
        <w:jc w:val="both"/>
        <w:ind w:firstLine="8"/>
        <w:spacing w:after="0" w:line="253" w:lineRule="auto"/>
        <w:tabs>
          <w:tab w:leader="none" w:pos="25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Company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 (ii) to include appropriately the Lenders holding such credit facilities in any determination of the Required Lenders.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3" w:lineRule="auto"/>
        <w:tabs>
          <w:tab w:leader="none" w:pos="181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relevant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621" w:right="239" w:bottom="1440" w:gutter="0" w:footer="0" w:header="0"/>
        </w:sectPr>
      </w:pPr>
    </w:p>
    <w:bookmarkStart w:id="267" w:name="page268"/>
    <w:bookmarkEnd w:id="267"/>
    <w:p>
      <w:pPr>
        <w:jc w:val="both"/>
        <w:ind w:firstLine="1305"/>
        <w:spacing w:after="0" w:line="252" w:lineRule="auto"/>
        <w:tabs>
          <w:tab w:leader="none" w:pos="170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indemnify the Administrative Agent, the Arrangers,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a Borrower, its equityholders or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Times New Roman" w:cs="Times New Roman" w:eastAsia="Times New Roman" w:hAnsi="Times New Roman"/>
          <w:sz w:val="18"/>
          <w:szCs w:val="18"/>
          <w:u w:val="single" w:color="auto"/>
          <w:color w:val="auto"/>
        </w:rPr>
        <w:t>Related Indemnitee Parties</w:t>
      </w:r>
      <w:r>
        <w:rPr>
          <w:rFonts w:ascii="Times New Roman" w:cs="Times New Roman" w:eastAsia="Times New Roman" w:hAnsi="Times New Roman"/>
          <w:sz w:val="18"/>
          <w:szCs w:val="18"/>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Borrowers or any of their Affiliates. In addition, such indemnity shall not, as to any Indemnitee, be available with respect to any settlements effected without the Company’s prior written consent.</w:t>
      </w:r>
    </w:p>
    <w:p>
      <w:pPr>
        <w:spacing w:after="0" w:line="191"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0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71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Laws, no party hereto shall assert, and each party hereto hereby waives, any claim against any other party hereto and any Indemnitee on any theory of liability, for special, indirect, consequential or punitive damages (as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621" w:right="239" w:bottom="1440" w:gutter="0" w:footer="0" w:header="0"/>
        </w:sectPr>
      </w:pPr>
    </w:p>
    <w:bookmarkStart w:id="268" w:name="page269"/>
    <w:bookmarkEnd w:id="26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(d) shall in no way limit each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9" w:lineRule="exact"/>
        <w:rPr>
          <w:sz w:val="20"/>
          <w:szCs w:val="20"/>
          <w:color w:val="auto"/>
        </w:rPr>
      </w:pPr>
    </w:p>
    <w:p>
      <w:pPr>
        <w:jc w:val="both"/>
        <w:ind w:firstLine="1305"/>
        <w:spacing w:after="0" w:line="266" w:lineRule="auto"/>
        <w:tabs>
          <w:tab w:leader="none" w:pos="168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shall be payable not later than fifteen (15)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4" w:lineRule="auto"/>
        <w:tabs>
          <w:tab w:leader="none" w:pos="17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no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 and the Lenders) any legal or equitable right, remedy or claim under or by reason of this Agreement.</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1301"/>
        <w:spacing w:after="0" w:line="282" w:lineRule="auto"/>
        <w:tabs>
          <w:tab w:leader="none" w:pos="3044"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Commitments and the Loans at the time owing to it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621" w:right="239" w:bottom="1440" w:gutter="0" w:footer="0" w:header="0"/>
        </w:sectPr>
      </w:pPr>
    </w:p>
    <w:bookmarkStart w:id="269" w:name="page270"/>
    <w:bookmarkEnd w:id="269"/>
    <w:p>
      <w:pPr>
        <w:ind w:left="1300"/>
        <w:spacing w:after="0"/>
        <w:rPr>
          <w:sz w:val="20"/>
          <w:szCs w:val="20"/>
          <w:color w:val="auto"/>
        </w:rPr>
      </w:pPr>
      <w:r>
        <w:rPr>
          <w:rFonts w:ascii="Times New Roman" w:cs="Times New Roman" w:eastAsia="Times New Roman" w:hAnsi="Times New Roman"/>
          <w:sz w:val="18"/>
          <w:szCs w:val="18"/>
          <w:color w:val="auto"/>
        </w:rPr>
        <w:t>in the case of an assignment to a Lender, an Affiliate of a Lender or an Approved Fund, no minimum amount need be assigned; and</w:t>
      </w:r>
    </w:p>
    <w:p>
      <w:pPr>
        <w:spacing w:after="0" w:line="225" w:lineRule="exact"/>
        <w:rPr>
          <w:sz w:val="20"/>
          <w:szCs w:val="20"/>
          <w:color w:val="auto"/>
        </w:rPr>
      </w:pPr>
    </w:p>
    <w:p>
      <w:pPr>
        <w:jc w:val="both"/>
        <w:ind w:left="1300" w:firstLine="1301"/>
        <w:spacing w:after="0" w:line="270" w:lineRule="auto"/>
        <w:tabs>
          <w:tab w:leader="none" w:pos="3052"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and, once New Mylan has become a Designated Borrower or Successor Borrower, provided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177" w:lineRule="exact"/>
        <w:rPr>
          <w:rFonts w:ascii="Times New Roman" w:cs="Times New Roman" w:eastAsia="Times New Roman" w:hAnsi="Times New Roman"/>
          <w:sz w:val="17"/>
          <w:szCs w:val="17"/>
          <w:color w:val="auto"/>
        </w:rPr>
      </w:pPr>
    </w:p>
    <w:p>
      <w:pPr>
        <w:jc w:val="both"/>
        <w:ind w:firstLine="1953"/>
        <w:spacing w:after="0" w:line="258" w:lineRule="auto"/>
        <w:tabs>
          <w:tab w:leader="none" w:pos="23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of the Class being assigned, except that this clause (ii) 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183"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and, in addition:</w:t>
      </w:r>
    </w:p>
    <w:p>
      <w:pPr>
        <w:spacing w:after="0" w:line="206" w:lineRule="exact"/>
        <w:rPr>
          <w:rFonts w:ascii="Times New Roman" w:cs="Times New Roman" w:eastAsia="Times New Roman" w:hAnsi="Times New Roman"/>
          <w:sz w:val="18"/>
          <w:szCs w:val="18"/>
          <w:color w:val="auto"/>
        </w:rPr>
      </w:pPr>
    </w:p>
    <w:p>
      <w:pPr>
        <w:jc w:val="both"/>
        <w:ind w:left="1300" w:firstLine="1301"/>
        <w:spacing w:after="0" w:line="261" w:lineRule="auto"/>
        <w:tabs>
          <w:tab w:leader="none" w:pos="305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an Event of Default pursuant to Article VII(a), (b), (h) or (i) has occurred and is continuing at the time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180" w:lineRule="exact"/>
        <w:rPr>
          <w:rFonts w:ascii="Times New Roman" w:cs="Times New Roman" w:eastAsia="Times New Roman" w:hAnsi="Times New Roman"/>
          <w:sz w:val="18"/>
          <w:szCs w:val="18"/>
          <w:color w:val="auto"/>
        </w:rPr>
      </w:pPr>
    </w:p>
    <w:p>
      <w:pPr>
        <w:ind w:left="1300" w:right="20" w:firstLine="1301"/>
        <w:spacing w:after="0" w:line="282" w:lineRule="auto"/>
        <w:tabs>
          <w:tab w:leader="none" w:pos="301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any Revolving Commitment;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621" w:right="239" w:bottom="1440" w:gutter="0" w:footer="0" w:header="0"/>
        </w:sectPr>
      </w:pPr>
    </w:p>
    <w:bookmarkStart w:id="270" w:name="page271"/>
    <w:bookmarkEnd w:id="270"/>
    <w:p>
      <w:pPr>
        <w:jc w:val="both"/>
        <w:ind w:left="1300" w:firstLine="1301"/>
        <w:spacing w:after="0" w:line="266" w:lineRule="auto"/>
        <w:tabs>
          <w:tab w:leader="none" w:pos="3065"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Issuing Bank (such consent not to be unreasonably withheld or delayed) shall be required for any assignment that increases the obligation of the assignee to participate in exposure under one or more Letters of Credit (whether or not then outstanding); and</w:t>
      </w:r>
    </w:p>
    <w:p>
      <w:pPr>
        <w:spacing w:after="0" w:line="176" w:lineRule="exact"/>
        <w:rPr>
          <w:rFonts w:ascii="Times New Roman" w:cs="Times New Roman" w:eastAsia="Times New Roman" w:hAnsi="Times New Roman"/>
          <w:sz w:val="18"/>
          <w:szCs w:val="18"/>
          <w:color w:val="auto"/>
        </w:rPr>
      </w:pPr>
    </w:p>
    <w:p>
      <w:pPr>
        <w:ind w:left="1300" w:firstLine="1301"/>
        <w:spacing w:after="0" w:line="282" w:lineRule="auto"/>
        <w:tabs>
          <w:tab w:leader="none" w:pos="3034"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Swingline Lender (such consent not to be unreasonably withheld or delayed) shall be required for any assignment in respect of the Revolving Credit Facility.</w:t>
      </w:r>
    </w:p>
    <w:p>
      <w:pPr>
        <w:spacing w:after="0" w:line="161" w:lineRule="exact"/>
        <w:rPr>
          <w:rFonts w:ascii="Times New Roman" w:cs="Times New Roman" w:eastAsia="Times New Roman" w:hAnsi="Times New Roman"/>
          <w:sz w:val="18"/>
          <w:szCs w:val="18"/>
          <w:color w:val="auto"/>
        </w:rPr>
      </w:pPr>
    </w:p>
    <w:p>
      <w:pPr>
        <w:jc w:val="both"/>
        <w:ind w:firstLine="1953"/>
        <w:spacing w:after="0" w:line="256" w:lineRule="auto"/>
        <w:tabs>
          <w:tab w:leader="none" w:pos="247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 confirm its status pursuant to Section 2.16(i). The assignee, if it is not a Lender, shall deliver to the Administrative Agent an Administrative Questionnaire, confirm its status pursuant to Section 2.16(i) and, if applicable, deliver its scheme reference number and its jurisdiction of tax residence pursuant to Section 2.16(h)(ii).</w:t>
      </w:r>
    </w:p>
    <w:p>
      <w:pPr>
        <w:spacing w:after="0" w:line="187"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Loan Parties</w:t>
      </w:r>
      <w:r>
        <w:rPr>
          <w:rFonts w:ascii="Times New Roman" w:cs="Times New Roman" w:eastAsia="Times New Roman" w:hAnsi="Times New Roman"/>
          <w:sz w:val="18"/>
          <w:szCs w:val="18"/>
          <w:color w:val="auto"/>
        </w:rPr>
        <w:t>. No such assignment shall be made to any Loan Party or any Loan Party’s Affiliates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225" w:lineRule="exact"/>
        <w:rPr>
          <w:rFonts w:ascii="Times New Roman" w:cs="Times New Roman" w:eastAsia="Times New Roman" w:hAnsi="Times New Roman"/>
          <w:sz w:val="18"/>
          <w:szCs w:val="18"/>
          <w:color w:val="auto"/>
        </w:rPr>
      </w:pPr>
    </w:p>
    <w:p>
      <w:pPr>
        <w:jc w:val="both"/>
        <w:ind w:firstLine="1953"/>
        <w:spacing w:after="0" w:line="253" w:lineRule="auto"/>
        <w:tabs>
          <w:tab w:leader="none" w:pos="255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Company,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rFonts w:ascii="Times New Roman" w:cs="Times New Roman" w:eastAsia="Times New Roman" w:hAnsi="Times New Roman"/>
          <w:sz w:val="18"/>
          <w:szCs w:val="18"/>
          <w:color w:val="auto"/>
        </w:rPr>
      </w:pPr>
    </w:p>
    <w:p>
      <w:pPr>
        <w:ind w:firstLine="8"/>
        <w:spacing w:after="0" w:line="282" w:lineRule="auto"/>
        <w:tabs>
          <w:tab w:leader="none" w:pos="57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by the Administrative Agent pursuant to subsection (c) of this Section, from and after the effective date specified in each Assignment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621" w:right="239" w:bottom="1440" w:gutter="0" w:footer="0" w:header="0"/>
        </w:sectPr>
      </w:pPr>
    </w:p>
    <w:bookmarkStart w:id="271" w:name="page272"/>
    <w:bookmarkEnd w:id="27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6" w:lineRule="exact"/>
        <w:rPr>
          <w:sz w:val="20"/>
          <w:szCs w:val="20"/>
          <w:color w:val="auto"/>
        </w:rPr>
      </w:pPr>
    </w:p>
    <w:p>
      <w:pPr>
        <w:jc w:val="both"/>
        <w:ind w:firstLine="1305"/>
        <w:spacing w:after="0" w:line="255" w:lineRule="auto"/>
        <w:tabs>
          <w:tab w:leader="none" w:pos="169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Borrowers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Company and any Lender, at any reasonable time and from time to time upon reasonable prior notice.</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1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the Administrative Agent, Swingline Lender or Issuing Bank, sell participations to any Person (other than a natural person, a Defaulting Lender or any Borrower or any of a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Issuing Bank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85" w:lineRule="exact"/>
        <w:rPr>
          <w:rFonts w:ascii="Times New Roman" w:cs="Times New Roman" w:eastAsia="Times New Roman" w:hAnsi="Times New Roman"/>
          <w:sz w:val="18"/>
          <w:szCs w:val="18"/>
          <w:color w:val="auto"/>
        </w:rPr>
      </w:pPr>
    </w:p>
    <w:p>
      <w:pPr>
        <w:ind w:firstLine="656"/>
        <w:spacing w:after="0" w:line="282" w:lineRule="auto"/>
        <w:tabs>
          <w:tab w:leader="none" w:pos="104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pursuant to which a Lender sells such a participation shall provide that such Lender shall retain the sole right to enforce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621" w:right="239" w:bottom="1440" w:gutter="0" w:footer="0" w:header="0"/>
        </w:sectPr>
      </w:pPr>
    </w:p>
    <w:bookmarkStart w:id="272" w:name="page273"/>
    <w:bookmarkEnd w:id="27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Borrowers agree that each Participant shall be entitled to the benefits of Sections 2.14, 2.15 and 2.16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 principal amounts and interest thereon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9" w:lineRule="exact"/>
        <w:rPr>
          <w:sz w:val="20"/>
          <w:szCs w:val="20"/>
          <w:color w:val="auto"/>
        </w:rPr>
      </w:pPr>
    </w:p>
    <w:p>
      <w:pPr>
        <w:jc w:val="both"/>
        <w:ind w:firstLine="1305"/>
        <w:spacing w:after="0" w:line="258" w:lineRule="auto"/>
        <w:tabs>
          <w:tab w:leader="none" w:pos="167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9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Any Lender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provided that no such pledge or assignment shall release such Lender from any of its obligations hereunder or substitute any such pledgee or assignee for such Lender as a party hereto.</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Issuing Bank or Swingline Lender after Assignment</w:t>
      </w:r>
      <w:r>
        <w:rPr>
          <w:rFonts w:ascii="Times New Roman" w:cs="Times New Roman" w:eastAsia="Times New Roman" w:hAnsi="Times New Roman"/>
          <w:sz w:val="18"/>
          <w:szCs w:val="18"/>
          <w:color w:val="auto"/>
        </w:rPr>
        <w:t>. Notwithstanding anything to the contrary contained herein, if at any time Bank of America assigns all of its Revolving Commitment and Revolving Loans pursuant to subsection (b) above, Bank of America may, (i) upon 30 days’ notice to the Borrowers and the Lenders, resign as Issuing Bank and/or (ii) upon 30 days’ notice to the Borrowers, resign as Swingline Lender. In the event of any such resignation as Issuing Bank or Swingline Lender, the Borrowers shall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621" w:right="239" w:bottom="1440" w:gutter="0" w:footer="0" w:header="0"/>
        </w:sectPr>
      </w:pPr>
    </w:p>
    <w:bookmarkStart w:id="273" w:name="page274"/>
    <w:bookmarkEnd w:id="27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entitled to appoint from among the Lenders a successor Issuing Bank or Swingline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Borrowers to appoint any such successor shall affect the resignation of Bank of America as Issuing Bank or Swingline Lender, as the case may be. If Bank of America resigns as Issuing Bank, it shall retain all the rights, powers, privileges and duties of the Issuing Bank hereunder with respect to all Letters of Credit outstanding as of the effective date of its resignation as Issuing Bank and all LC 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621"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color w:val="auto"/>
        </w:rPr>
        <w:t>Agreement by telecopy or pdf shall be effective as delivery of a manually executed counterpart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1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other Loan Party against any of and all the Obligations of such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9"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4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by or on behalf of any Borrower or any other Loan Party is made to the Administrative Agent, the Issuing Bank or any Lender, or the Administrative Agent, the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 under clause (b) of the preceding sentence shall survive the payment in full of the Obligations and the termination of this Agreement.</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75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621" w:right="239" w:bottom="1440" w:gutter="0" w:footer="0" w:header="0"/>
        </w:sectPr>
      </w:pPr>
    </w:p>
    <w:bookmarkStart w:id="275" w:name="page276"/>
    <w:bookmarkEnd w:id="275"/>
    <w:p>
      <w:pPr>
        <w:jc w:val="both"/>
        <w:ind w:firstLine="1305"/>
        <w:spacing w:after="0" w:line="253" w:lineRule="auto"/>
        <w:tabs>
          <w:tab w:leader="none" w:pos="172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the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9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Mylan and each Guarantor hereby appoints Mylan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621" w:right="239" w:bottom="1440" w:gutter="0" w:footer="0" w:header="0"/>
        </w:sectPr>
      </w:pPr>
    </w:p>
    <w:bookmarkStart w:id="276" w:name="page277"/>
    <w:bookmarkEnd w:id="276"/>
    <w:p>
      <w:pPr>
        <w:jc w:val="both"/>
        <w:spacing w:after="0" w:line="282" w:lineRule="auto"/>
        <w:rPr>
          <w:sz w:val="20"/>
          <w:szCs w:val="20"/>
          <w:color w:val="auto"/>
        </w:rPr>
      </w:pPr>
      <w:r>
        <w:rPr>
          <w:rFonts w:ascii="Times New Roman" w:cs="Times New Roman" w:eastAsia="Times New Roman" w:hAnsi="Times New Roman"/>
          <w:sz w:val="18"/>
          <w:szCs w:val="18"/>
          <w:color w:val="auto"/>
        </w:rPr>
        <w:t>AND (B) ACKNOWLEDGES THAT IT AND THE OTHER PARTIES HERETO HAVE BEEN INDUCED TO ENTER INTO THIS AGREEMENT AND THE OTHER LOAN DOCUMENTS BY, AMONG OTHER THINGS, THE MUTUAL WAIVERS AND CERTIFICATIONS IN THIS SECTION.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Lenders and the Issuing Bank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practicable and permitted by law, the Company has been notified prior to such disclosure so that the Company may seek, at the Company’s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relating to a Loan Party and its obligations, (g) with the consent of any Loan Party or (h)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a Loan Party.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any Lender or the Issuing Bank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Issuing Bank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621" w:right="239" w:bottom="1440" w:gutter="0" w:footer="0" w:header="0"/>
        </w:sectPr>
      </w:pPr>
    </w:p>
    <w:bookmarkStart w:id="277" w:name="page278"/>
    <w:bookmarkEnd w:id="27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Borrower and each other Loan Party, which information includes the name and address of each Borrower and each other Loan Party and other information that will allow such Lender or the Administrative Agent, as applicable, to identify each Borrower and each other Loan Party in accordance with the Act. Each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each Borrower, each other Loan Party and their respective Affiliates, on the one hand, and the Administrative Agent, the Arrangers and the Lenders, on the other hand, (B) each Borrower and each other Loan Parties has consulted its own legal, accounting, regulatory and tax advisors to the extent it has deemed appropriate, and (C) each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Arranger nor any Lender has any obligation to any Borrower, any other Loan Party or any of their respective Affiliates with respect to the transactions contemplated hereby except those obligations expressly set forth herein and in the other Loan Documents; and (iii) the Administrative Agent, the Arrangers,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621" w:right="239" w:bottom="1440" w:gutter="0" w:footer="0" w:header="0"/>
        </w:sectPr>
      </w:pPr>
    </w:p>
    <w:bookmarkStart w:id="278" w:name="page279"/>
    <w:bookmarkEnd w:id="278"/>
    <w:p>
      <w:pPr>
        <w:jc w:val="both"/>
        <w:spacing w:after="0" w:line="258" w:lineRule="auto"/>
        <w:rPr>
          <w:sz w:val="20"/>
          <w:szCs w:val="20"/>
          <w:color w:val="auto"/>
        </w:rPr>
      </w:pPr>
      <w:r>
        <w:rPr>
          <w:rFonts w:ascii="Times New Roman" w:cs="Times New Roman" w:eastAsia="Times New Roman" w:hAnsi="Times New Roman"/>
          <w:sz w:val="18"/>
          <w:szCs w:val="18"/>
          <w:color w:val="auto"/>
        </w:rPr>
        <w:t>Lenders and their respective Affiliates may be engaged in a broad range of transactions that involve interests that differ from those of the Borrowers, the other Loan Parties and their respective Affiliates, and neither the Administrative Agent nor any Arranger nor any Lender has any obligation to disclose any of such interests to any Borrower, any other Loan Party or any of their respective Affiliates. To the fullest extent permitted by law, each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The words “execute,” “execution,” “signed,” “signature,” and words of like import in or related to any document to be signed in connection with this Agreement and the transactions contemplated hereby (including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Each Borrower is part of a group of affiliated Persons, and each Borrower expects to receive substantial direct and indirect benefits from the extension of the credit facility established pursuant to this Agreement. In consideration of the foregoing, each Borrower hereby irrevocably and unconditionally agrees that it is jointly and severally liable for all of the Obligations, whether now or hereafter existing or due or to become due. The Obligations under the Loan Documents may be enforced by the Administrative Agent and the Lenders against any Borrower or all Borrowers or any Loan Party or all Loan Parties in any manner or order selected by the Administrative Agent or the Required Lenders in their sole discretion. Each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provided, however, that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621" w:right="239" w:bottom="1440" w:gutter="0" w:footer="0" w:header="0"/>
        </w:sectPr>
      </w:pPr>
    </w:p>
    <w:bookmarkStart w:id="279" w:name="page280"/>
    <w:bookmarkEnd w:id="279"/>
    <w:p>
      <w:pPr>
        <w:jc w:val="both"/>
        <w:spacing w:after="0" w:line="254" w:lineRule="auto"/>
        <w:rPr>
          <w:sz w:val="20"/>
          <w:szCs w:val="20"/>
          <w:color w:val="auto"/>
        </w:rPr>
      </w:pPr>
      <w:r>
        <w:rPr>
          <w:rFonts w:ascii="Times New Roman" w:cs="Times New Roman" w:eastAsia="Times New Roman" w:hAnsi="Times New Roman"/>
          <w:sz w:val="18"/>
          <w:szCs w:val="18"/>
          <w:color w:val="auto"/>
        </w:rPr>
        <w:t>foregoing shall not prohibit (a) the Administrative Agent from exercising on its own behalf the rights and remedies that inure to its benefit (solely in its capacity as Administrative Agent) hereunder and under the other Loan Documents, (b) each Issuing Bank or the Swingline Lender from exercising the rights and remedies that inure to its benefit (solely in its capacity as Issuing Bank or Swingline Lender, as the case may be) hereunder and under the other Loan Documents, (c) 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w:t>
      </w:r>
    </w:p>
    <w:p>
      <w:pPr>
        <w:jc w:val="both"/>
        <w:ind w:firstLine="8"/>
        <w:spacing w:after="0" w:line="255" w:lineRule="auto"/>
        <w:tabs>
          <w:tab w:leader="none" w:pos="22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621" w:right="239" w:bottom="1440" w:gutter="0" w:footer="0" w:header="0"/>
        </w:sectPr>
      </w:pPr>
    </w:p>
    <w:bookmarkStart w:id="280" w:name="page281"/>
    <w:bookmarkEnd w:id="280"/>
    <w:p>
      <w:pPr>
        <w:jc w:val="both"/>
        <w:spacing w:after="0" w:line="255" w:lineRule="auto"/>
        <w:rPr>
          <w:sz w:val="20"/>
          <w:szCs w:val="20"/>
          <w:color w:val="auto"/>
        </w:rPr>
      </w:pPr>
      <w:r>
        <w:rPr>
          <w:rFonts w:ascii="Times New Roman" w:cs="Times New Roman" w:eastAsia="Times New Roman" w:hAnsi="Times New Roman"/>
          <w:sz w:val="18"/>
          <w:szCs w:val="18"/>
          <w:color w:val="auto"/>
        </w:rPr>
        <w:t>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Lenders, and each Guarantor shall remain liable to the Administrative Agent and the Lender Parties for the full amount guaranteed by such Guarantor hereunder.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 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621" w:right="239" w:bottom="1440" w:gutter="0" w:footer="0" w:header="0"/>
        </w:sectPr>
      </w:pPr>
    </w:p>
    <w:bookmarkStart w:id="281" w:name="page282"/>
    <w:bookmarkEnd w:id="2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Amendments, etc., with Respect to the Obligations</w:t>
      </w:r>
      <w:r>
        <w:rPr>
          <w:rFonts w:ascii="Times New Roman" w:cs="Times New Roman" w:eastAsia="Times New Roman" w:hAnsi="Times New Roman"/>
          <w:sz w:val="18"/>
          <w:szCs w:val="18"/>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any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621" w:right="239" w:bottom="1440" w:gutter="0" w:footer="0" w:header="0"/>
        </w:sectPr>
      </w:pPr>
    </w:p>
    <w:bookmarkStart w:id="282" w:name="page283"/>
    <w:bookmarkEnd w:id="282"/>
    <w:p>
      <w:pPr>
        <w:jc w:val="both"/>
        <w:spacing w:after="0" w:line="256" w:lineRule="auto"/>
        <w:rPr>
          <w:sz w:val="20"/>
          <w:szCs w:val="20"/>
          <w:color w:val="auto"/>
        </w:rPr>
      </w:pPr>
      <w:r>
        <w:rPr>
          <w:rFonts w:ascii="Times New Roman" w:cs="Times New Roman" w:eastAsia="Times New Roman" w:hAnsi="Times New Roman"/>
          <w:sz w:val="18"/>
          <w:szCs w:val="18"/>
          <w:color w:val="auto"/>
        </w:rPr>
        <w:t>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 the case may be, if any payment by or on behalf of any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Obligations Independent</w:t>
      </w:r>
      <w:r>
        <w:rPr>
          <w:rFonts w:ascii="Times New Roman" w:cs="Times New Roman" w:eastAsia="Times New Roman" w:hAnsi="Times New Roman"/>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any Borrower or any other Person or entity is joined as a party.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 any case in which a Guarantor makes or is obligated to make payment in Dollars, such Guarantor shall hold the Administrative Agent harmless from any loss incurred by the Administrative Agent arising from any change in the value of Dollars in relation to the currency for payment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621" w:right="239" w:bottom="1440" w:gutter="0" w:footer="0" w:header="0"/>
        </w:sectPr>
      </w:pPr>
    </w:p>
    <w:bookmarkStart w:id="283" w:name="page284"/>
    <w:bookmarkEnd w:id="283"/>
    <w:p>
      <w:pPr>
        <w:jc w:val="both"/>
        <w:spacing w:after="0" w:line="256" w:lineRule="auto"/>
        <w:rPr>
          <w:sz w:val="20"/>
          <w:szCs w:val="20"/>
          <w:color w:val="auto"/>
        </w:rPr>
      </w:pPr>
      <w:r>
        <w:rPr>
          <w:rFonts w:ascii="Times New Roman" w:cs="Times New Roman" w:eastAsia="Times New Roman" w:hAnsi="Times New Roman"/>
          <w:sz w:val="18"/>
          <w:szCs w:val="18"/>
          <w:color w:val="auto"/>
        </w:rPr>
        <w:t>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any Borrower, including but not limited to, any restrictions on the conversion of currency or repatriation or control of funds or any total or partial expropriation of such Guarantor’s or any Borrower’s property, or by economic, political, regulatory or other events in the countries where such Guarantor or any Borrower is located.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Each Guarantor hereby subordinates the payment of all obligations and indebtedness of each Borrower owing to each Guarantor, whether now existing or hereafter arising, including but not limited to any obligation of any Borrower to such Guarantor as subrogee of the Lender Parties or resulting from such Guarantor’s performance under this Guarantee Agreement, to the indefeasible payment in full in cash of all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subordination shall not be given effect until such time as the Lender Parties shall have made a request to the Company pursuant to the second sentence of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Stay of Acceleration</w:t>
      </w:r>
      <w:r>
        <w:rPr>
          <w:rFonts w:ascii="Times New Roman" w:cs="Times New Roman" w:eastAsia="Times New Roman" w:hAnsi="Times New Roman"/>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Condition of Borrower</w:t>
      </w:r>
      <w:r>
        <w:rPr>
          <w:rFonts w:ascii="Times New Roman" w:cs="Times New Roman" w:eastAsia="Times New Roman" w:hAnsi="Times New Roman"/>
          <w:sz w:val="18"/>
          <w:szCs w:val="18"/>
          <w:color w:val="auto"/>
        </w:rPr>
        <w:t>. Each Guarantor acknowledges and agrees that it has the sole responsibility for, and has adequate means of, obtaining from each Borrower and any other guarantor such information concerning the financial condition, business and operations of the Borrowers and any such other guarantor as Guarantor requires, and that none of the Lender Parties has any duty, and Guarantor is not relying on the Lender Parties at any time, to disclose to Guarantor any information relating to the business, operations or financial condition of the Borrowers or any other guarantor (Guarantor waiving any duty on the part of the Lender Parties to disclose such information and any defense relating to the failure to provide the same).</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hereunder shall be released to the extent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621" w:right="239" w:bottom="1440" w:gutter="0" w:footer="0" w:header="0"/>
        </w:sectPr>
      </w:pPr>
    </w:p>
    <w:bookmarkStart w:id="284" w:name="page285"/>
    <w:bookmarkEnd w:id="284"/>
    <w:p>
      <w:pPr>
        <w:spacing w:after="0" w:line="282" w:lineRule="auto"/>
        <w:rPr>
          <w:sz w:val="20"/>
          <w:szCs w:val="20"/>
          <w:color w:val="auto"/>
        </w:rPr>
      </w:pPr>
      <w:r>
        <w:rPr>
          <w:rFonts w:ascii="Times New Roman" w:cs="Times New Roman" w:eastAsia="Times New Roman" w:hAnsi="Times New Roman"/>
          <w:sz w:val="18"/>
          <w:szCs w:val="18"/>
          <w:color w:val="auto"/>
        </w:rPr>
        <w:t>(and in the manner) expressly set forth in Section 5.09 or in the event such Guarantor ceases to be a Subsidiary in a transaction not prohibited by the terms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621" w:right="239" w:bottom="1440" w:gutter="0" w:footer="0" w:header="0"/>
        </w:sectPr>
      </w:pPr>
    </w:p>
    <w:bookmarkStart w:id="285" w:name="page286"/>
    <w:bookmarkEnd w:id="28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324"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MYLAN INC.</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Colleen Ostrowski</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Colleen Ostrowski</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60"/>
          </w:cols>
          <w:pgMar w:left="240" w:top="621" w:right="499" w:bottom="1440" w:gutter="0" w:footer="0" w:header="0"/>
        </w:sectPr>
      </w:pPr>
    </w:p>
    <w:bookmarkStart w:id="286" w:name="page287"/>
    <w:bookmarkEnd w:id="286"/>
    <w:p>
      <w:pPr>
        <w:ind w:left="4100"/>
        <w:spacing w:after="0"/>
        <w:rPr>
          <w:sz w:val="20"/>
          <w:szCs w:val="20"/>
          <w:color w:val="auto"/>
        </w:rPr>
      </w:pPr>
      <w:r>
        <w:rPr>
          <w:rFonts w:ascii="Times New Roman" w:cs="Times New Roman" w:eastAsia="Times New Roman" w:hAnsi="Times New Roman"/>
          <w:sz w:val="18"/>
          <w:szCs w:val="18"/>
          <w:color w:val="auto"/>
        </w:rPr>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Sheri Starbuck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Sheri Starbuck</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9019"/>
          </w:cols>
          <w:pgMar w:left="1440" w:top="1216" w:right="1440" w:bottom="1440" w:gutter="0" w:footer="0" w:header="0"/>
        </w:sectPr>
      </w:pPr>
    </w:p>
    <w:bookmarkStart w:id="287" w:name="page288"/>
    <w:bookmarkEnd w:id="287"/>
    <w:p>
      <w:pPr>
        <w:ind w:left="4100"/>
        <w:spacing w:after="0" w:line="282" w:lineRule="auto"/>
        <w:rPr>
          <w:sz w:val="20"/>
          <w:szCs w:val="20"/>
          <w:color w:val="auto"/>
        </w:rPr>
      </w:pPr>
      <w:r>
        <w:rPr>
          <w:rFonts w:ascii="Times New Roman" w:cs="Times New Roman" w:eastAsia="Times New Roman" w:hAnsi="Times New Roman"/>
          <w:sz w:val="18"/>
          <w:szCs w:val="18"/>
          <w:color w:val="auto"/>
        </w:rPr>
        <w:t>BANK OF AMERICA, N.A., individually as a Lender, as the Swingline Lender, as the Issuing Bank and as Administrative Agent</w:t>
      </w:r>
    </w:p>
    <w:p>
      <w:pPr>
        <w:spacing w:after="0" w:line="378" w:lineRule="exact"/>
        <w:rPr>
          <w:sz w:val="20"/>
          <w:szCs w:val="20"/>
          <w:color w:val="auto"/>
        </w:rPr>
      </w:pPr>
    </w:p>
    <w:p>
      <w:pPr>
        <w:ind w:left="41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LaPorte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Robert LaPorte</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100"/>
          </w:cols>
          <w:pgMar w:left="1440" w:top="783" w:right="359" w:bottom="1440" w:gutter="0" w:footer="0" w:header="0"/>
        </w:sectPr>
      </w:pPr>
    </w:p>
    <w:bookmarkStart w:id="288" w:name="page289"/>
    <w:bookmarkEnd w:id="288"/>
    <w:p>
      <w:pPr>
        <w:ind w:left="4100"/>
        <w:spacing w:after="0"/>
        <w:rPr>
          <w:sz w:val="20"/>
          <w:szCs w:val="20"/>
          <w:color w:val="auto"/>
        </w:rPr>
      </w:pPr>
      <w:r>
        <w:rPr>
          <w:rFonts w:ascii="Times New Roman" w:cs="Times New Roman" w:eastAsia="Times New Roman" w:hAnsi="Times New Roman"/>
          <w:sz w:val="18"/>
          <w:szCs w:val="18"/>
          <w:color w:val="auto"/>
        </w:rPr>
        <w:t>CITIBANK, N.A., as a Lender</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Patricia Guerra Heh</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Patricia Guerra Heh</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019"/>
          </w:cols>
          <w:pgMar w:left="1440" w:top="783" w:right="1440" w:bottom="1440" w:gutter="0" w:footer="0" w:header="0"/>
        </w:sectPr>
      </w:pPr>
    </w:p>
    <w:bookmarkStart w:id="289" w:name="page290"/>
    <w:bookmarkEnd w:id="289"/>
    <w:p>
      <w:pPr>
        <w:ind w:left="4100"/>
        <w:spacing w:after="0"/>
        <w:rPr>
          <w:sz w:val="20"/>
          <w:szCs w:val="20"/>
          <w:color w:val="auto"/>
        </w:rPr>
      </w:pPr>
      <w:r>
        <w:rPr>
          <w:rFonts w:ascii="Times New Roman" w:cs="Times New Roman" w:eastAsia="Times New Roman" w:hAnsi="Times New Roman"/>
          <w:sz w:val="17"/>
          <w:szCs w:val="17"/>
          <w:color w:val="auto"/>
        </w:rPr>
        <w:t>CREDIT SUISSE AG, CAYMAN ISLANDS BRANCH,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Day</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Christopher Day</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Karim Rahimtoola</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Karim Rahimtoola</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9100"/>
          </w:cols>
          <w:pgMar w:left="1440" w:top="783" w:right="1359" w:bottom="1440" w:gutter="0" w:footer="0" w:header="0"/>
        </w:sectPr>
      </w:pPr>
    </w:p>
    <w:bookmarkStart w:id="290" w:name="page291"/>
    <w:bookmarkEnd w:id="290"/>
    <w:p>
      <w:pPr>
        <w:ind w:left="4100"/>
        <w:spacing w:after="0"/>
        <w:rPr>
          <w:sz w:val="20"/>
          <w:szCs w:val="20"/>
          <w:color w:val="auto"/>
        </w:rPr>
      </w:pPr>
      <w:r>
        <w:rPr>
          <w:rFonts w:ascii="Times New Roman" w:cs="Times New Roman" w:eastAsia="Times New Roman" w:hAnsi="Times New Roman"/>
          <w:sz w:val="17"/>
          <w:szCs w:val="17"/>
          <w:color w:val="auto"/>
        </w:rPr>
        <w:t>GOLDMAN SACHS BANK USA,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Rebecca Kratz</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Rebecca Kratz</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9019"/>
          </w:cols>
          <w:pgMar w:left="1440" w:top="783" w:right="1440" w:bottom="1440" w:gutter="0" w:footer="0" w:header="0"/>
        </w:sectPr>
      </w:pPr>
    </w:p>
    <w:bookmarkStart w:id="291" w:name="page292"/>
    <w:bookmarkEnd w:id="291"/>
    <w:p>
      <w:pPr>
        <w:ind w:left="4100"/>
        <w:spacing w:after="0"/>
        <w:rPr>
          <w:sz w:val="20"/>
          <w:szCs w:val="20"/>
          <w:color w:val="auto"/>
        </w:rPr>
      </w:pPr>
      <w:r>
        <w:rPr>
          <w:rFonts w:ascii="Times New Roman" w:cs="Times New Roman" w:eastAsia="Times New Roman" w:hAnsi="Times New Roman"/>
          <w:sz w:val="18"/>
          <w:szCs w:val="18"/>
          <w:color w:val="auto"/>
        </w:rPr>
        <w:t>JPMORGAN CHASE BANK, N.A., as a Lender and an Issuing Bank</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Deborah R. Winkler</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Deborah R. Winkler</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9140"/>
          </w:cols>
          <w:pgMar w:left="1440" w:top="783" w:right="1319" w:bottom="1440" w:gutter="0" w:footer="0" w:header="0"/>
        </w:sectPr>
      </w:pPr>
    </w:p>
    <w:bookmarkStart w:id="292" w:name="page293"/>
    <w:bookmarkEnd w:id="292"/>
    <w:p>
      <w:pPr>
        <w:ind w:left="4100"/>
        <w:spacing w:after="0"/>
        <w:rPr>
          <w:sz w:val="20"/>
          <w:szCs w:val="20"/>
          <w:color w:val="auto"/>
        </w:rPr>
      </w:pPr>
      <w:r>
        <w:rPr>
          <w:rFonts w:ascii="Times New Roman" w:cs="Times New Roman" w:eastAsia="Times New Roman" w:hAnsi="Times New Roman"/>
          <w:sz w:val="17"/>
          <w:szCs w:val="17"/>
          <w:color w:val="auto"/>
        </w:rPr>
        <w:t>PNC BANK, N.A., as a Lender</w:t>
      </w:r>
    </w:p>
    <w:p>
      <w:pPr>
        <w:spacing w:after="0" w:line="200" w:lineRule="exact"/>
        <w:rPr>
          <w:sz w:val="20"/>
          <w:szCs w:val="20"/>
          <w:color w:val="auto"/>
        </w:rPr>
      </w:pPr>
    </w:p>
    <w:p>
      <w:pPr>
        <w:spacing w:after="0" w:line="253" w:lineRule="exact"/>
        <w:rPr>
          <w:sz w:val="20"/>
          <w:szCs w:val="20"/>
          <w:color w:val="auto"/>
        </w:rPr>
      </w:pPr>
    </w:p>
    <w:p>
      <w:pPr>
        <w:ind w:left="4100"/>
        <w:spacing w:after="0"/>
        <w:tabs>
          <w:tab w:leader="none" w:pos="4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Tracy J. DeCock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Tracy J. DeCock</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9019"/>
          </w:cols>
          <w:pgMar w:left="1440" w:top="783" w:right="1440" w:bottom="1440" w:gutter="0" w:footer="0" w:header="0"/>
        </w:sectPr>
      </w:pPr>
    </w:p>
    <w:bookmarkStart w:id="293" w:name="page294"/>
    <w:bookmarkEnd w:id="293"/>
    <w:p>
      <w:pPr>
        <w:ind w:left="4100"/>
        <w:spacing w:after="0"/>
        <w:rPr>
          <w:sz w:val="20"/>
          <w:szCs w:val="20"/>
          <w:color w:val="auto"/>
        </w:rPr>
      </w:pPr>
      <w:r>
        <w:rPr>
          <w:rFonts w:ascii="Times New Roman" w:cs="Times New Roman" w:eastAsia="Times New Roman" w:hAnsi="Times New Roman"/>
          <w:sz w:val="17"/>
          <w:szCs w:val="17"/>
          <w:color w:val="auto"/>
        </w:rPr>
        <w:t>THE ROYAL BANK OF SCOTLAND PLC, as a Lender</w:t>
      </w:r>
    </w:p>
    <w:p>
      <w:pPr>
        <w:spacing w:after="0" w:line="200" w:lineRule="exact"/>
        <w:rPr>
          <w:sz w:val="20"/>
          <w:szCs w:val="20"/>
          <w:color w:val="auto"/>
        </w:rPr>
      </w:pPr>
    </w:p>
    <w:p>
      <w:pPr>
        <w:spacing w:after="0" w:line="253" w:lineRule="exact"/>
        <w:rPr>
          <w:sz w:val="20"/>
          <w:szCs w:val="20"/>
          <w:color w:val="auto"/>
        </w:rPr>
      </w:pPr>
    </w:p>
    <w:p>
      <w:pPr>
        <w:ind w:left="4100"/>
        <w:spacing w:after="0"/>
        <w:tabs>
          <w:tab w:leader="none" w:pos="4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William McGinty</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William McGinty</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9019"/>
          </w:cols>
          <w:pgMar w:left="1440" w:top="783" w:right="1440" w:bottom="1440" w:gutter="0" w:footer="0" w:header="0"/>
        </w:sectPr>
      </w:pPr>
    </w:p>
    <w:bookmarkStart w:id="294" w:name="page295"/>
    <w:bookmarkEnd w:id="294"/>
    <w:p>
      <w:pPr>
        <w:ind w:left="4100"/>
        <w:spacing w:after="0"/>
        <w:rPr>
          <w:sz w:val="20"/>
          <w:szCs w:val="20"/>
          <w:color w:val="auto"/>
        </w:rPr>
      </w:pPr>
      <w:r>
        <w:rPr>
          <w:rFonts w:ascii="Times New Roman" w:cs="Times New Roman" w:eastAsia="Times New Roman" w:hAnsi="Times New Roman"/>
          <w:sz w:val="17"/>
          <w:szCs w:val="17"/>
          <w:color w:val="auto"/>
        </w:rPr>
        <w:t>DEUTSCHE BANK AG NEW YORK BRANCH, as a Lender</w:t>
      </w:r>
    </w:p>
    <w:p>
      <w:pPr>
        <w:spacing w:after="0" w:line="200" w:lineRule="exact"/>
        <w:rPr>
          <w:sz w:val="20"/>
          <w:szCs w:val="20"/>
          <w:color w:val="auto"/>
        </w:rPr>
      </w:pPr>
    </w:p>
    <w:p>
      <w:pPr>
        <w:spacing w:after="0" w:line="253" w:lineRule="exact"/>
        <w:rPr>
          <w:sz w:val="20"/>
          <w:szCs w:val="20"/>
          <w:color w:val="auto"/>
        </w:rPr>
      </w:pPr>
    </w:p>
    <w:p>
      <w:pPr>
        <w:ind w:left="4100"/>
        <w:spacing w:after="0"/>
        <w:tabs>
          <w:tab w:leader="none" w:pos="4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Ming K. Chu</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Ming K. Chu</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Virginia Cosenza</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Virginia Cosenza</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9019"/>
          </w:cols>
          <w:pgMar w:left="1440" w:top="783" w:right="1440" w:bottom="1440" w:gutter="0" w:footer="0" w:header="0"/>
        </w:sectPr>
      </w:pPr>
    </w:p>
    <w:bookmarkStart w:id="295" w:name="page296"/>
    <w:bookmarkEnd w:id="295"/>
    <w:p>
      <w:pPr>
        <w:ind w:left="4100"/>
        <w:spacing w:after="0"/>
        <w:rPr>
          <w:sz w:val="20"/>
          <w:szCs w:val="20"/>
          <w:color w:val="auto"/>
        </w:rPr>
      </w:pPr>
      <w:r>
        <w:rPr>
          <w:rFonts w:ascii="Times New Roman" w:cs="Times New Roman" w:eastAsia="Times New Roman" w:hAnsi="Times New Roman"/>
          <w:sz w:val="17"/>
          <w:szCs w:val="17"/>
          <w:color w:val="auto"/>
        </w:rPr>
        <w:t>THE BANK OF TOKYO–MITSUBISHI UFJ LTD.,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Jaime Sussman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Jaime Sussman</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9019"/>
          </w:cols>
          <w:pgMar w:left="1440" w:top="783" w:right="1440" w:bottom="1440" w:gutter="0" w:footer="0" w:header="0"/>
        </w:sectPr>
      </w:pPr>
    </w:p>
    <w:bookmarkStart w:id="296" w:name="page297"/>
    <w:bookmarkEnd w:id="296"/>
    <w:p>
      <w:pPr>
        <w:ind w:left="4100"/>
        <w:spacing w:after="0"/>
        <w:rPr>
          <w:sz w:val="20"/>
          <w:szCs w:val="20"/>
          <w:color w:val="auto"/>
        </w:rPr>
      </w:pPr>
      <w:r>
        <w:rPr>
          <w:rFonts w:ascii="Times New Roman" w:cs="Times New Roman" w:eastAsia="Times New Roman" w:hAnsi="Times New Roman"/>
          <w:sz w:val="17"/>
          <w:szCs w:val="17"/>
          <w:color w:val="auto"/>
        </w:rPr>
        <w:t>MORGAN STANLEY BANK, N.A.,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King</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9019"/>
          </w:cols>
          <w:pgMar w:left="1440" w:top="783" w:right="1440" w:bottom="1440" w:gutter="0" w:footer="0" w:header="0"/>
        </w:sectPr>
      </w:pPr>
    </w:p>
    <w:bookmarkStart w:id="297" w:name="page298"/>
    <w:bookmarkEnd w:id="297"/>
    <w:p>
      <w:pPr>
        <w:ind w:left="4100"/>
        <w:spacing w:after="0"/>
        <w:rPr>
          <w:sz w:val="20"/>
          <w:szCs w:val="20"/>
          <w:color w:val="auto"/>
        </w:rPr>
      </w:pPr>
      <w:r>
        <w:rPr>
          <w:rFonts w:ascii="Times New Roman" w:cs="Times New Roman" w:eastAsia="Times New Roman" w:hAnsi="Times New Roman"/>
          <w:sz w:val="17"/>
          <w:szCs w:val="17"/>
          <w:color w:val="auto"/>
        </w:rPr>
        <w:t>DNB BANK ASA Grand Cayman Branch,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Tangen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Thomas Tangen</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Bjorn Erik Hammerstad</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Bjorn Erik Hammerstad</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9019"/>
          </w:cols>
          <w:pgMar w:left="1440" w:top="783" w:right="1440" w:bottom="1440" w:gutter="0" w:footer="0" w:header="0"/>
        </w:sectPr>
      </w:pPr>
    </w:p>
    <w:bookmarkStart w:id="298" w:name="page299"/>
    <w:bookmarkEnd w:id="298"/>
    <w:p>
      <w:pPr>
        <w:ind w:left="4100"/>
        <w:spacing w:after="0"/>
        <w:rPr>
          <w:sz w:val="20"/>
          <w:szCs w:val="20"/>
          <w:color w:val="auto"/>
        </w:rPr>
      </w:pPr>
      <w:r>
        <w:rPr>
          <w:rFonts w:ascii="Times New Roman" w:cs="Times New Roman" w:eastAsia="Times New Roman" w:hAnsi="Times New Roman"/>
          <w:sz w:val="17"/>
          <w:szCs w:val="17"/>
          <w:color w:val="auto"/>
        </w:rPr>
        <w:t>HSBC BANK USA, NATIONAL ASSOCIATION,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Christopher S. Helmeci</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Christopher S. Helmeci</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SVP / Relationship Manager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9019"/>
          </w:cols>
          <w:pgMar w:left="1440" w:top="783" w:right="1440"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TERM CREDIT AGREEMENT</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dated as of</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December 19, 2014</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among</w:t>
      </w:r>
    </w:p>
    <w:p>
      <w:pPr>
        <w:spacing w:after="0" w:line="2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MYLAN INC.,</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as a Borrower</w:t>
      </w:r>
    </w:p>
    <w:p>
      <w:pPr>
        <w:spacing w:after="0" w:line="25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The other Borrowers and Guarantors party hereto</w:t>
      </w:r>
    </w:p>
    <w:p>
      <w:pPr>
        <w:spacing w:after="0" w:line="26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5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and the Lenders party hereto</w:t>
      </w:r>
    </w:p>
    <w:p>
      <w:pPr>
        <w:spacing w:after="0" w:line="200" w:lineRule="exact"/>
        <w:rPr>
          <w:sz w:val="20"/>
          <w:szCs w:val="20"/>
          <w:color w:val="auto"/>
        </w:rPr>
      </w:pPr>
    </w:p>
    <w:p>
      <w:pPr>
        <w:spacing w:after="0" w:line="31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1"/>
          <w:szCs w:val="21"/>
          <w:color w:val="auto"/>
        </w:rPr>
        <w:t>MERRILL LYNCH, PIERCE, FENNER &amp; SMITH INCORPORATED,</w:t>
      </w:r>
    </w:p>
    <w:p>
      <w:pPr>
        <w:spacing w:after="0" w:line="3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J.P. MORGAN SECURITIES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PNC CAPITAL MARKETS LLC</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THE BANK OF TOKYO-MITSUBISHI UFJ, LTD.,</w:t>
      </w:r>
    </w:p>
    <w:p>
      <w:pPr>
        <w:spacing w:after="0" w:line="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as Bookrunner and Lead Arranger</w:t>
      </w:r>
    </w:p>
    <w:p>
      <w:pPr>
        <w:sectPr>
          <w:pgSz w:w="11900" w:h="16838" w:orient="portrait"/>
          <w:cols w:equalWidth="0" w:num="1">
            <w:col w:w="10220"/>
          </w:cols>
          <w:pgMar w:left="1440" w:top="121" w:right="2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83"/>
        </w:trPr>
        <w:tc>
          <w:tcPr>
            <w:tcW w:w="1380" w:type="dxa"/>
            <w:vAlign w:val="bottom"/>
          </w:tcPr>
          <w:p>
            <w:pPr>
              <w:spacing w:after="0"/>
              <w:rPr>
                <w:sz w:val="24"/>
                <w:szCs w:val="24"/>
                <w:color w:val="auto"/>
              </w:rPr>
            </w:pPr>
          </w:p>
        </w:tc>
        <w:tc>
          <w:tcPr>
            <w:tcW w:w="9460" w:type="dxa"/>
            <w:vAlign w:val="bottom"/>
          </w:tcPr>
          <w:p>
            <w:pPr>
              <w:ind w:left="3200"/>
              <w:spacing w:after="0"/>
              <w:rPr>
                <w:sz w:val="20"/>
                <w:szCs w:val="20"/>
                <w:color w:val="auto"/>
              </w:rPr>
            </w:pPr>
            <w:r>
              <w:rPr>
                <w:rFonts w:ascii="Times New Roman" w:cs="Times New Roman" w:eastAsia="Times New Roman" w:hAnsi="Times New Roman"/>
                <w:sz w:val="22"/>
                <w:szCs w:val="22"/>
                <w:color w:val="auto"/>
              </w:rPr>
              <w:t>TABLE OF CONTENTS</w:t>
            </w:r>
          </w:p>
        </w:tc>
        <w:tc>
          <w:tcPr>
            <w:tcW w:w="320" w:type="dxa"/>
            <w:vAlign w:val="bottom"/>
          </w:tcPr>
          <w:p>
            <w:pPr>
              <w:spacing w:after="0"/>
              <w:rPr>
                <w:sz w:val="24"/>
                <w:szCs w:val="24"/>
                <w:color w:val="auto"/>
              </w:rPr>
            </w:pPr>
          </w:p>
        </w:tc>
      </w:tr>
      <w:tr>
        <w:trPr>
          <w:trHeight w:val="812"/>
        </w:trPr>
        <w:tc>
          <w:tcPr>
            <w:tcW w:w="13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Page</w:t>
            </w:r>
          </w:p>
        </w:tc>
      </w:tr>
      <w:tr>
        <w:trPr>
          <w:trHeight w:val="676"/>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w w:val="98"/>
              </w:rPr>
              <w:t>ARTICLE I</w:t>
            </w:r>
          </w:p>
        </w:tc>
        <w:tc>
          <w:tcPr>
            <w:tcW w:w="32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DEFINITIONS</w:t>
            </w:r>
          </w:p>
        </w:tc>
        <w:tc>
          <w:tcPr>
            <w:tcW w:w="320" w:type="dxa"/>
            <w:vAlign w:val="bottom"/>
          </w:tcPr>
          <w:p>
            <w:pPr>
              <w:spacing w:after="0"/>
              <w:rPr>
                <w:sz w:val="24"/>
                <w:szCs w:val="24"/>
                <w:color w:val="auto"/>
              </w:rPr>
            </w:pP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Defined Terms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Classification of Loans and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Terms Generally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Accounting Terms; GAAP</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Payments on Business Days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 Forma Compliance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Rounding</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1.09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Times of Day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LIBO Rate</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r>
      <w:tr>
        <w:trPr>
          <w:trHeight w:val="405"/>
        </w:trPr>
        <w:tc>
          <w:tcPr>
            <w:tcW w:w="1380" w:type="dxa"/>
            <w:vAlign w:val="bottom"/>
          </w:tcPr>
          <w:p>
            <w:pPr>
              <w:spacing w:after="0"/>
              <w:rPr>
                <w:sz w:val="24"/>
                <w:szCs w:val="24"/>
                <w:color w:val="auto"/>
              </w:rPr>
            </w:pPr>
          </w:p>
        </w:tc>
        <w:tc>
          <w:tcPr>
            <w:tcW w:w="9460" w:type="dxa"/>
            <w:vAlign w:val="bottom"/>
          </w:tcPr>
          <w:p>
            <w:pPr>
              <w:jc w:val="center"/>
              <w:ind w:left="438"/>
              <w:spacing w:after="0"/>
              <w:rPr>
                <w:sz w:val="20"/>
                <w:szCs w:val="20"/>
                <w:color w:val="auto"/>
              </w:rPr>
            </w:pPr>
            <w:r>
              <w:rPr>
                <w:rFonts w:ascii="Times New Roman" w:cs="Times New Roman" w:eastAsia="Times New Roman" w:hAnsi="Times New Roman"/>
                <w:sz w:val="16"/>
                <w:szCs w:val="16"/>
                <w:color w:val="auto"/>
                <w:w w:val="99"/>
              </w:rPr>
              <w:t>ARTICLE II</w:t>
            </w:r>
          </w:p>
        </w:tc>
        <w:tc>
          <w:tcPr>
            <w:tcW w:w="320" w:type="dxa"/>
            <w:vAlign w:val="bottom"/>
          </w:tcPr>
          <w:p>
            <w:pPr>
              <w:spacing w:after="0"/>
              <w:rPr>
                <w:sz w:val="24"/>
                <w:szCs w:val="24"/>
                <w:color w:val="auto"/>
              </w:rPr>
            </w:pPr>
          </w:p>
        </w:tc>
      </w:tr>
      <w:tr>
        <w:trPr>
          <w:trHeight w:val="257"/>
        </w:trPr>
        <w:tc>
          <w:tcPr>
            <w:tcW w:w="1380" w:type="dxa"/>
            <w:vAlign w:val="bottom"/>
          </w:tcPr>
          <w:p>
            <w:pPr>
              <w:spacing w:after="0"/>
              <w:rPr>
                <w:sz w:val="22"/>
                <w:szCs w:val="22"/>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THE CREDITS</w:t>
            </w:r>
          </w:p>
        </w:tc>
        <w:tc>
          <w:tcPr>
            <w:tcW w:w="320" w:type="dxa"/>
            <w:vAlign w:val="bottom"/>
          </w:tcPr>
          <w:p>
            <w:pPr>
              <w:spacing w:after="0"/>
              <w:rPr>
                <w:sz w:val="22"/>
                <w:szCs w:val="22"/>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Term Commitments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Loans and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Requests for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Funding of Borrowings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Reduction of Commitments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2.09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Repayment of Loans; Evidence of Debt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Optional Prepayment of Loans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Fees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Alternate Rate of Interest</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2.14</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Increased Costs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2.15</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Break Funding Payments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39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2.16</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Taxes.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2.17</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Payments Generally; Pro Rata Treatment; Sharing of Setoffs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2.18</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Mitigation Obligations; Replacement of Lenders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2.19</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2.20</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Judgment Currency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Designated Borrower</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[Intentionally Omitted]</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2.23</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Successor Borrower</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r>
      <w:tr>
        <w:trPr>
          <w:trHeight w:val="405"/>
        </w:trPr>
        <w:tc>
          <w:tcPr>
            <w:tcW w:w="1380" w:type="dxa"/>
            <w:vAlign w:val="bottom"/>
          </w:tcPr>
          <w:p>
            <w:pPr>
              <w:spacing w:after="0"/>
              <w:rPr>
                <w:sz w:val="24"/>
                <w:szCs w:val="24"/>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rPr>
              <w:t>ARTICLE III</w:t>
            </w:r>
          </w:p>
        </w:tc>
        <w:tc>
          <w:tcPr>
            <w:tcW w:w="320" w:type="dxa"/>
            <w:vAlign w:val="bottom"/>
          </w:tcPr>
          <w:p>
            <w:pPr>
              <w:spacing w:after="0"/>
              <w:rPr>
                <w:sz w:val="24"/>
                <w:szCs w:val="24"/>
                <w:color w:val="auto"/>
              </w:rPr>
            </w:pPr>
          </w:p>
        </w:tc>
      </w:tr>
      <w:tr>
        <w:trPr>
          <w:trHeight w:val="257"/>
        </w:trPr>
        <w:tc>
          <w:tcPr>
            <w:tcW w:w="1380" w:type="dxa"/>
            <w:vAlign w:val="bottom"/>
          </w:tcPr>
          <w:p>
            <w:pPr>
              <w:spacing w:after="0"/>
              <w:rPr>
                <w:sz w:val="22"/>
                <w:szCs w:val="22"/>
                <w:color w:val="auto"/>
              </w:rPr>
            </w:pPr>
          </w:p>
        </w:tc>
        <w:tc>
          <w:tcPr>
            <w:tcW w:w="946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auto"/>
                <w:w w:val="99"/>
              </w:rPr>
              <w:t>REPRESENTATIONS AND WARRANTIES</w:t>
            </w:r>
          </w:p>
        </w:tc>
        <w:tc>
          <w:tcPr>
            <w:tcW w:w="320" w:type="dxa"/>
            <w:vAlign w:val="bottom"/>
          </w:tcPr>
          <w:p>
            <w:pPr>
              <w:spacing w:after="0"/>
              <w:rPr>
                <w:sz w:val="22"/>
                <w:szCs w:val="22"/>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Organization; Powers; Subsidiaries</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3.02</w:t>
            </w:r>
          </w:p>
        </w:tc>
        <w:tc>
          <w:tcPr>
            <w:tcW w:w="94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Authorization; Enforceability</w:t>
            </w: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52</w:t>
            </w:r>
          </w:p>
        </w:tc>
      </w:tr>
    </w:tbl>
    <w:p>
      <w:pPr>
        <w:spacing w:after="0" w:line="200" w:lineRule="exact"/>
        <w:rPr>
          <w:sz w:val="20"/>
          <w:szCs w:val="20"/>
          <w:color w:val="auto"/>
        </w:rPr>
      </w:pPr>
    </w:p>
    <w:p>
      <w:pPr>
        <w:sectPr>
          <w:pgSz w:w="11900" w:h="16838" w:orient="portrait"/>
          <w:cols w:equalWidth="0" w:num="1">
            <w:col w:w="11160"/>
          </w:cols>
          <w:pgMar w:left="280" w:top="382" w:right="459" w:bottom="9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60"/>
          </w:cols>
          <w:pgMar w:left="280" w:top="382" w:right="459" w:bottom="902" w:gutter="0" w:footer="0" w:header="0"/>
          <w:type w:val="continuous"/>
        </w:sectPr>
      </w:pPr>
    </w:p>
    <w:bookmarkStart w:id="301" w:name="page302"/>
    <w:bookmarkEnd w:id="301"/>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Governmental Approvals; No Conflicts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Statements; Financial Condition; No Material Adverse Change</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Properties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Litigation and Environmental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Compliance with Laws and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Investment Company Status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3.09</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Taxes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3.10</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Solvency</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Disclosure</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Federal Reserve Regulations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PATRIOT Act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OFAC</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Representations as to Foreign Obligors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500"/>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ARTICLE IV</w:t>
            </w:r>
          </w:p>
        </w:tc>
        <w:tc>
          <w:tcPr>
            <w:tcW w:w="1880" w:type="dxa"/>
            <w:vAlign w:val="bottom"/>
          </w:tcPr>
          <w:p>
            <w:pPr>
              <w:spacing w:after="0"/>
              <w:rPr>
                <w:sz w:val="24"/>
                <w:szCs w:val="24"/>
                <w:color w:val="auto"/>
              </w:rPr>
            </w:pPr>
          </w:p>
        </w:tc>
      </w:tr>
      <w:tr>
        <w:trPr>
          <w:trHeight w:val="365"/>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rPr>
              <w:t>CONDITIONS</w:t>
            </w:r>
          </w:p>
        </w:tc>
        <w:tc>
          <w:tcPr>
            <w:tcW w:w="1880" w:type="dxa"/>
            <w:vAlign w:val="bottom"/>
          </w:tcPr>
          <w:p>
            <w:pPr>
              <w:spacing w:after="0"/>
              <w:rPr>
                <w:sz w:val="24"/>
                <w:szCs w:val="24"/>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Closing Date Borrowing</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405"/>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rPr>
              <w:t>ARTICLE V</w:t>
            </w:r>
          </w:p>
        </w:tc>
        <w:tc>
          <w:tcPr>
            <w:tcW w:w="1880" w:type="dxa"/>
            <w:vAlign w:val="bottom"/>
          </w:tcPr>
          <w:p>
            <w:pPr>
              <w:spacing w:after="0"/>
              <w:rPr>
                <w:sz w:val="24"/>
                <w:szCs w:val="24"/>
                <w:color w:val="auto"/>
              </w:rPr>
            </w:pPr>
          </w:p>
        </w:tc>
      </w:tr>
      <w:tr>
        <w:trPr>
          <w:trHeight w:val="270"/>
        </w:trPr>
        <w:tc>
          <w:tcPr>
            <w:tcW w:w="1380" w:type="dxa"/>
            <w:vAlign w:val="bottom"/>
          </w:tcPr>
          <w:p>
            <w:pPr>
              <w:spacing w:after="0"/>
              <w:rPr>
                <w:sz w:val="23"/>
                <w:szCs w:val="23"/>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AFFIRMATIVE COVENANTS</w:t>
            </w:r>
          </w:p>
        </w:tc>
        <w:tc>
          <w:tcPr>
            <w:tcW w:w="1880" w:type="dxa"/>
            <w:vAlign w:val="bottom"/>
          </w:tcPr>
          <w:p>
            <w:pPr>
              <w:spacing w:after="0"/>
              <w:rPr>
                <w:sz w:val="23"/>
                <w:szCs w:val="23"/>
                <w:color w:val="auto"/>
              </w:rPr>
            </w:pP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Statements and Other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Notices of Material Events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Existence; Conduct of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Payment of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Maintenance of Properties; Insurance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Inspection Rights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Compliance with Laws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Use of Proceeds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5.09</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Guarantees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92"/>
        </w:trPr>
        <w:tc>
          <w:tcPr>
            <w:tcW w:w="1380" w:type="dxa"/>
            <w:vAlign w:val="bottom"/>
          </w:tcPr>
          <w:p>
            <w:pPr>
              <w:spacing w:after="0"/>
              <w:rPr>
                <w:sz w:val="24"/>
                <w:szCs w:val="24"/>
                <w:color w:val="auto"/>
              </w:rPr>
            </w:pPr>
          </w:p>
        </w:tc>
        <w:tc>
          <w:tcPr>
            <w:tcW w:w="7740" w:type="dxa"/>
            <w:vAlign w:val="bottom"/>
          </w:tcPr>
          <w:p>
            <w:pPr>
              <w:jc w:val="center"/>
              <w:ind w:left="2139"/>
              <w:spacing w:after="0"/>
              <w:rPr>
                <w:sz w:val="20"/>
                <w:szCs w:val="20"/>
                <w:color w:val="auto"/>
              </w:rPr>
            </w:pPr>
            <w:r>
              <w:rPr>
                <w:rFonts w:ascii="Times New Roman" w:cs="Times New Roman" w:eastAsia="Times New Roman" w:hAnsi="Times New Roman"/>
                <w:sz w:val="16"/>
                <w:szCs w:val="16"/>
                <w:color w:val="auto"/>
                <w:w w:val="99"/>
              </w:rPr>
              <w:t>ARTICLE VI</w:t>
            </w:r>
          </w:p>
        </w:tc>
        <w:tc>
          <w:tcPr>
            <w:tcW w:w="1880" w:type="dxa"/>
            <w:vAlign w:val="bottom"/>
          </w:tcPr>
          <w:p>
            <w:pPr>
              <w:spacing w:after="0"/>
              <w:rPr>
                <w:sz w:val="24"/>
                <w:szCs w:val="24"/>
                <w:color w:val="auto"/>
              </w:rPr>
            </w:pPr>
          </w:p>
        </w:tc>
      </w:tr>
      <w:tr>
        <w:trPr>
          <w:trHeight w:val="365"/>
        </w:trPr>
        <w:tc>
          <w:tcPr>
            <w:tcW w:w="1380" w:type="dxa"/>
            <w:vAlign w:val="bottom"/>
          </w:tcPr>
          <w:p>
            <w:pPr>
              <w:spacing w:after="0"/>
              <w:rPr>
                <w:sz w:val="24"/>
                <w:szCs w:val="24"/>
                <w:color w:val="auto"/>
              </w:rPr>
            </w:pPr>
          </w:p>
        </w:tc>
        <w:tc>
          <w:tcPr>
            <w:tcW w:w="7740" w:type="dxa"/>
            <w:vAlign w:val="bottom"/>
          </w:tcPr>
          <w:p>
            <w:pPr>
              <w:jc w:val="center"/>
              <w:ind w:left="2159"/>
              <w:spacing w:after="0"/>
              <w:rPr>
                <w:sz w:val="20"/>
                <w:szCs w:val="20"/>
                <w:color w:val="auto"/>
              </w:rPr>
            </w:pPr>
            <w:r>
              <w:rPr>
                <w:rFonts w:ascii="Times New Roman" w:cs="Times New Roman" w:eastAsia="Times New Roman" w:hAnsi="Times New Roman"/>
                <w:sz w:val="16"/>
                <w:szCs w:val="16"/>
                <w:color w:val="auto"/>
              </w:rPr>
              <w:t>NEGATIVE COVENANTS</w:t>
            </w:r>
          </w:p>
        </w:tc>
        <w:tc>
          <w:tcPr>
            <w:tcW w:w="1880" w:type="dxa"/>
            <w:vAlign w:val="bottom"/>
          </w:tcPr>
          <w:p>
            <w:pPr>
              <w:spacing w:after="0"/>
              <w:rPr>
                <w:sz w:val="24"/>
                <w:szCs w:val="24"/>
                <w:color w:val="auto"/>
              </w:rPr>
            </w:pPr>
          </w:p>
        </w:tc>
      </w:tr>
      <w:tr>
        <w:trPr>
          <w:trHeight w:val="378"/>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Indebtedness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Liens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6.03</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Fundamental Changes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6.04</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Restricted Payments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6.05</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Investments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6.06</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6.07</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Financial Covenant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7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Section 6.08</w:t>
            </w:r>
          </w:p>
        </w:tc>
        <w:tc>
          <w:tcPr>
            <w:tcW w:w="7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Lines of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bl>
    <w:p>
      <w:pPr>
        <w:spacing w:after="0" w:line="195"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ARTICLE VII</w:t>
      </w:r>
    </w:p>
    <w:p>
      <w:pPr>
        <w:spacing w:after="0" w:line="86"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EVENTS OF DEFAULT</w:t>
      </w:r>
    </w:p>
    <w:p>
      <w:pPr>
        <w:spacing w:after="0" w:line="221"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ARTICLE VIII</w:t>
      </w:r>
    </w:p>
    <w:p>
      <w:pPr>
        <w:spacing w:after="0" w:line="73"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6"/>
          <w:szCs w:val="16"/>
          <w:color w:val="auto"/>
        </w:rPr>
        <w:t>THE ADMINISTRATIVE AGENT</w:t>
      </w:r>
    </w:p>
    <w:p>
      <w:pPr>
        <w:sectPr>
          <w:pgSz w:w="11900" w:h="16838" w:orient="portrait"/>
          <w:cols w:equalWidth="0" w:num="1">
            <w:col w:w="11000"/>
          </w:cols>
          <w:pgMar w:left="280" w:top="80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000"/>
          </w:cols>
          <w:pgMar w:left="280" w:top="801" w:right="619" w:bottom="1440" w:gutter="0" w:footer="0" w:header="0"/>
          <w:type w:val="continuous"/>
        </w:sectPr>
      </w:pPr>
    </w:p>
    <w:bookmarkStart w:id="302" w:name="page303"/>
    <w:bookmarkEnd w:id="302"/>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540" w:type="dxa"/>
            <w:vAlign w:val="bottom"/>
          </w:tcPr>
          <w:p>
            <w:pPr>
              <w:jc w:val="center"/>
              <w:ind w:right="1659"/>
              <w:spacing w:after="0"/>
              <w:rPr>
                <w:sz w:val="20"/>
                <w:szCs w:val="20"/>
                <w:color w:val="auto"/>
              </w:rPr>
            </w:pPr>
            <w:r>
              <w:rPr>
                <w:rFonts w:ascii="Times New Roman" w:cs="Times New Roman" w:eastAsia="Times New Roman" w:hAnsi="Times New Roman"/>
                <w:sz w:val="16"/>
                <w:szCs w:val="16"/>
                <w:color w:val="auto"/>
                <w:w w:val="99"/>
              </w:rPr>
              <w:t>ARTICLE IX</w:t>
            </w:r>
          </w:p>
        </w:tc>
        <w:tc>
          <w:tcPr>
            <w:tcW w:w="2000" w:type="dxa"/>
            <w:vAlign w:val="bottom"/>
          </w:tcPr>
          <w:p>
            <w:pPr>
              <w:spacing w:after="0"/>
              <w:rPr>
                <w:sz w:val="18"/>
                <w:szCs w:val="18"/>
                <w:color w:val="auto"/>
              </w:rPr>
            </w:pPr>
          </w:p>
        </w:tc>
      </w:tr>
      <w:tr>
        <w:trPr>
          <w:trHeight w:val="270"/>
        </w:trPr>
        <w:tc>
          <w:tcPr>
            <w:tcW w:w="15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540" w:type="dxa"/>
            <w:vAlign w:val="bottom"/>
          </w:tcPr>
          <w:p>
            <w:pPr>
              <w:jc w:val="center"/>
              <w:ind w:right="1659"/>
              <w:spacing w:after="0"/>
              <w:rPr>
                <w:sz w:val="20"/>
                <w:szCs w:val="20"/>
                <w:color w:val="auto"/>
              </w:rPr>
            </w:pPr>
            <w:r>
              <w:rPr>
                <w:rFonts w:ascii="Times New Roman" w:cs="Times New Roman" w:eastAsia="Times New Roman" w:hAnsi="Times New Roman"/>
                <w:sz w:val="16"/>
                <w:szCs w:val="16"/>
                <w:color w:val="auto"/>
              </w:rPr>
              <w:t>MISCELLANEOUS</w:t>
            </w:r>
          </w:p>
        </w:tc>
        <w:tc>
          <w:tcPr>
            <w:tcW w:w="2000" w:type="dxa"/>
            <w:vAlign w:val="bottom"/>
          </w:tcPr>
          <w:p>
            <w:pPr>
              <w:spacing w:after="0"/>
              <w:rPr>
                <w:sz w:val="23"/>
                <w:szCs w:val="23"/>
                <w:color w:val="auto"/>
              </w:rPr>
            </w:pP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9.01</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Notices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9.02</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Waivers; Amendments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9.03</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Expenses; Indemnity; Damage Waiver</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9.04</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Successors and Assigns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9.05</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Survival</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9.06</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Counterparts; Integration; Effectiveness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9.07</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Severability</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9.08</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Right of Setoff</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9.09</w:t>
            </w:r>
          </w:p>
        </w:tc>
        <w:tc>
          <w:tcPr>
            <w:tcW w:w="74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Governing Law; Jurisdiction; Consent to Service of Process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9.10</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WAIVER OF JURY TRIAL</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9.11</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Headings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9.12</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Confidentiality</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9.13</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USA PATRIOT Act</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9.14</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Rate Limitation</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9.15</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 Fiduciary Duty</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9.16</w:t>
            </w:r>
          </w:p>
        </w:tc>
        <w:tc>
          <w:tcPr>
            <w:tcW w:w="74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Electronic Execution of Assignments and Certain Other Documents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9.17</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Joint and Several</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9.18</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Enforcement</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513"/>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540" w:type="dxa"/>
            <w:vAlign w:val="bottom"/>
          </w:tcPr>
          <w:p>
            <w:pPr>
              <w:jc w:val="center"/>
              <w:ind w:right="1659"/>
              <w:spacing w:after="0"/>
              <w:rPr>
                <w:sz w:val="20"/>
                <w:szCs w:val="20"/>
                <w:color w:val="auto"/>
              </w:rPr>
            </w:pPr>
            <w:r>
              <w:rPr>
                <w:rFonts w:ascii="Times New Roman" w:cs="Times New Roman" w:eastAsia="Times New Roman" w:hAnsi="Times New Roman"/>
                <w:sz w:val="16"/>
                <w:szCs w:val="16"/>
                <w:color w:val="auto"/>
              </w:rPr>
              <w:t>ARTICLE X</w:t>
            </w:r>
          </w:p>
        </w:tc>
        <w:tc>
          <w:tcPr>
            <w:tcW w:w="2000" w:type="dxa"/>
            <w:vAlign w:val="bottom"/>
          </w:tcPr>
          <w:p>
            <w:pPr>
              <w:spacing w:after="0"/>
              <w:rPr>
                <w:sz w:val="24"/>
                <w:szCs w:val="24"/>
                <w:color w:val="auto"/>
              </w:rPr>
            </w:pPr>
          </w:p>
        </w:tc>
      </w:tr>
      <w:tr>
        <w:trPr>
          <w:trHeight w:val="270"/>
        </w:trPr>
        <w:tc>
          <w:tcPr>
            <w:tcW w:w="15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540" w:type="dxa"/>
            <w:vAlign w:val="bottom"/>
          </w:tcPr>
          <w:p>
            <w:pPr>
              <w:jc w:val="center"/>
              <w:ind w:right="1659"/>
              <w:spacing w:after="0"/>
              <w:rPr>
                <w:sz w:val="20"/>
                <w:szCs w:val="20"/>
                <w:color w:val="auto"/>
              </w:rPr>
            </w:pPr>
            <w:r>
              <w:rPr>
                <w:rFonts w:ascii="Times New Roman" w:cs="Times New Roman" w:eastAsia="Times New Roman" w:hAnsi="Times New Roman"/>
                <w:sz w:val="16"/>
                <w:szCs w:val="16"/>
                <w:color w:val="auto"/>
              </w:rPr>
              <w:t>GUARANTEE</w:t>
            </w:r>
          </w:p>
        </w:tc>
        <w:tc>
          <w:tcPr>
            <w:tcW w:w="2000" w:type="dxa"/>
            <w:vAlign w:val="bottom"/>
          </w:tcPr>
          <w:p>
            <w:pPr>
              <w:spacing w:after="0"/>
              <w:rPr>
                <w:sz w:val="23"/>
                <w:szCs w:val="23"/>
                <w:color w:val="auto"/>
              </w:rPr>
            </w:pP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10.01</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Guarantee</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10.02</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Right of Contribution</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10.03</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 Subrogation</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10.04</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Amendments, etc., with Respect to the Obligations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10.05</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Guarantee Absolute and Unconditional</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10.06</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Reinstatement</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10.07</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Obligations Independent</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10.08</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10.09</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Subordination</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10.10</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Stay of Acceleration</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10.11</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Condition of Borrower</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Section 10.12</w:t>
            </w: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Releases</w:t>
            </w:r>
          </w:p>
        </w:tc>
        <w:tc>
          <w:tcPr>
            <w:tcW w:w="354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50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SCHEDULES:</w:t>
            </w:r>
          </w:p>
        </w:tc>
        <w:tc>
          <w:tcPr>
            <w:tcW w:w="3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7"/>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2.01</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 Commitments</w:t>
            </w:r>
          </w:p>
        </w:tc>
        <w:tc>
          <w:tcPr>
            <w:tcW w:w="2000" w:type="dxa"/>
            <w:vAlign w:val="bottom"/>
          </w:tcPr>
          <w:p>
            <w:pPr>
              <w:spacing w:after="0"/>
              <w:rPr>
                <w:sz w:val="24"/>
                <w:szCs w:val="24"/>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2.03</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Specified Litigation</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3.01</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Subsidiaries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3.06</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Disclosed Matters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6.01</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Existing Indebtedness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6.02</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Existing Liens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6.04</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Payments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6.05 (e)</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Investments</w:t>
            </w:r>
          </w:p>
        </w:tc>
        <w:tc>
          <w:tcPr>
            <w:tcW w:w="2000" w:type="dxa"/>
            <w:vAlign w:val="bottom"/>
          </w:tcPr>
          <w:p>
            <w:pPr>
              <w:spacing w:after="0"/>
              <w:rPr>
                <w:sz w:val="23"/>
                <w:szCs w:val="23"/>
                <w:color w:val="auto"/>
              </w:rPr>
            </w:pPr>
          </w:p>
        </w:tc>
      </w:tr>
      <w:tr>
        <w:trPr>
          <w:trHeight w:val="270"/>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Schedule 6.06</w:t>
            </w:r>
          </w:p>
        </w:tc>
        <w:tc>
          <w:tcPr>
            <w:tcW w:w="3920" w:type="dxa"/>
            <w:vAlign w:val="bottom"/>
          </w:tcPr>
          <w:p>
            <w:pPr>
              <w:ind w:left="180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Affiliate Transactions</w:t>
            </w:r>
          </w:p>
        </w:tc>
        <w:tc>
          <w:tcPr>
            <w:tcW w:w="20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020"/>
          </w:cols>
          <w:pgMar w:left="260" w:top="801" w:right="6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020"/>
          </w:cols>
          <w:pgMar w:left="260" w:top="801" w:right="619" w:bottom="1440" w:gutter="0" w:footer="0" w:header="0"/>
          <w:type w:val="continuous"/>
        </w:sectPr>
      </w:pPr>
    </w:p>
    <w:bookmarkStart w:id="303" w:name="page304"/>
    <w:bookmarkEnd w:id="303"/>
    <w:tbl>
      <w:tblPr>
        <w:tblLayout w:type="fixed"/>
        <w:tblInd w:w="0" w:type="dxa"/>
        <w:tblCellMar>
          <w:top w:w="0" w:type="dxa"/>
          <w:left w:w="0" w:type="dxa"/>
          <w:bottom w:w="0" w:type="dxa"/>
          <w:right w:w="0" w:type="dxa"/>
        </w:tblCellMar>
      </w:tblPr>
      <w:tr>
        <w:trPr>
          <w:trHeight w:val="2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Schedule 9.01</w:t>
            </w:r>
          </w:p>
        </w:tc>
        <w:tc>
          <w:tcPr>
            <w:tcW w:w="25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Notices</w:t>
            </w:r>
          </w:p>
        </w:tc>
      </w:tr>
      <w:tr>
        <w:trPr>
          <w:trHeight w:val="50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EXHIBITS:</w:t>
            </w:r>
          </w:p>
        </w:tc>
        <w:tc>
          <w:tcPr>
            <w:tcW w:w="252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675"/>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Form of Assignment and Assumption</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B</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Form of Term Note</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C</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Form of Borrowing Request</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D</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Form of Compliance Certificate</w:t>
            </w:r>
          </w:p>
        </w:tc>
      </w:tr>
      <w:tr>
        <w:trPr>
          <w:trHeight w:val="24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E-1</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U.S. Tax Certificate (For Foreign Lenders That Are Not Partnerships For U.S.</w:t>
            </w:r>
          </w:p>
        </w:tc>
      </w:tr>
      <w:tr>
        <w:trPr>
          <w:trHeight w:val="210"/>
        </w:trPr>
        <w:tc>
          <w:tcPr>
            <w:tcW w:w="2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Federal Income Tax Purposes)</w:t>
            </w:r>
          </w:p>
        </w:tc>
      </w:tr>
      <w:tr>
        <w:trPr>
          <w:trHeight w:val="24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E-2</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U.S. Tax Certificate (For Foreign Lenders That Are Partnerships For U.S.</w:t>
            </w:r>
          </w:p>
        </w:tc>
      </w:tr>
      <w:tr>
        <w:trPr>
          <w:trHeight w:val="210"/>
        </w:trPr>
        <w:tc>
          <w:tcPr>
            <w:tcW w:w="2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Federal Income Tax Purposes)</w:t>
            </w:r>
          </w:p>
        </w:tc>
      </w:tr>
      <w:tr>
        <w:trPr>
          <w:trHeight w:val="24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E-3</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U.S. Tax Certificate (For Non-U.S. Participants That Are Not Partnerships For</w:t>
            </w:r>
          </w:p>
        </w:tc>
      </w:tr>
      <w:tr>
        <w:trPr>
          <w:trHeight w:val="210"/>
        </w:trPr>
        <w:tc>
          <w:tcPr>
            <w:tcW w:w="2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U.S. Federal Income Tax Purposes)</w:t>
            </w:r>
          </w:p>
        </w:tc>
      </w:tr>
      <w:tr>
        <w:trPr>
          <w:trHeight w:val="24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E-4</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U.S. Tax Certificate (For Non-U.S. Participants That Are Partnerships For</w:t>
            </w:r>
          </w:p>
        </w:tc>
      </w:tr>
      <w:tr>
        <w:trPr>
          <w:trHeight w:val="210"/>
        </w:trPr>
        <w:tc>
          <w:tcPr>
            <w:tcW w:w="2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U.S. Federal Income Tax Purposes)</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F</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Designated Borrower Request and Assumption Agreement</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G</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Designated Borrower Notice</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H</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Designated Borrower/Successor Borrower Joinder Agreement</w:t>
            </w:r>
          </w:p>
        </w:tc>
      </w:t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Exhibit I</w:t>
            </w:r>
          </w:p>
        </w:tc>
        <w:tc>
          <w:tcPr>
            <w:tcW w:w="25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67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Form of Guarantor Joinder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340"/>
          </w:cols>
          <w:pgMar w:left="260" w:top="788" w:right="299" w:bottom="1440" w:gutter="0" w:footer="0" w:header="0"/>
        </w:sectPr>
      </w:pPr>
    </w:p>
    <w:bookmarkStart w:id="304" w:name="page305"/>
    <w:bookmarkEnd w:id="304"/>
    <w:p>
      <w:pPr>
        <w:jc w:val="center"/>
        <w:spacing w:after="0"/>
        <w:rPr>
          <w:sz w:val="20"/>
          <w:szCs w:val="20"/>
          <w:color w:val="auto"/>
        </w:rPr>
      </w:pPr>
      <w:r>
        <w:rPr>
          <w:rFonts w:ascii="Times New Roman" w:cs="Times New Roman" w:eastAsia="Times New Roman" w:hAnsi="Times New Roman"/>
          <w:sz w:val="18"/>
          <w:szCs w:val="18"/>
          <w:b w:val="1"/>
          <w:bCs w:val="1"/>
          <w:color w:val="auto"/>
        </w:rPr>
        <w:t>TERM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TERM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December 19, 2014 among MYLAN INC., a Pennsylvania corporation (“</w:t>
      </w:r>
      <w:r>
        <w:rPr>
          <w:rFonts w:ascii="Times New Roman" w:cs="Times New Roman" w:eastAsia="Times New Roman" w:hAnsi="Times New Roman"/>
          <w:sz w:val="18"/>
          <w:szCs w:val="18"/>
          <w:u w:val="single" w:color="auto"/>
          <w:color w:val="auto"/>
        </w:rPr>
        <w:t>Mylan</w:t>
      </w:r>
      <w:r>
        <w:rPr>
          <w:rFonts w:ascii="Times New Roman" w:cs="Times New Roman" w:eastAsia="Times New Roman" w:hAnsi="Times New Roman"/>
          <w:sz w:val="18"/>
          <w:szCs w:val="18"/>
          <w:color w:val="auto"/>
        </w:rPr>
        <w:t>”), certain Affiliates and Subsidiaries of Mylan from time to time party hereto as a Designated Borrower, Successor Borrower or Guarantor, each Lender from time to time party hereto, and BANK OF AMERICA, N.A., as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agree to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Abbott Labs</w:t>
      </w:r>
      <w:r>
        <w:rPr>
          <w:rFonts w:ascii="Times New Roman" w:cs="Times New Roman" w:eastAsia="Times New Roman" w:hAnsi="Times New Roman"/>
          <w:sz w:val="18"/>
          <w:szCs w:val="18"/>
          <w:color w:val="auto"/>
        </w:rPr>
        <w:t>” means Abbott Laboratories, an Illinois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means each Person, property, business or assets acquired by the Company or a Subsidiary, to the extent not subsequently sold, transferred or otherwise disposed of by the Company or such Subsidiary.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Indebtedness</w:t>
      </w:r>
      <w:r>
        <w:rPr>
          <w:rFonts w:ascii="Times New Roman" w:cs="Times New Roman" w:eastAsia="Times New Roman" w:hAnsi="Times New Roman"/>
          <w:sz w:val="18"/>
          <w:szCs w:val="18"/>
          <w:color w:val="auto"/>
        </w:rPr>
        <w:t>” means any Indebtedness of the Loan Parties that has been issued for the purpose of financing, in part, the acquisition of an Acquired Entity or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assigned in Section 9.13.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for the Lenders hereunder, or any successor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Company and the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assigned in Section 9.01(c).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305" w:name="page306"/>
    <w:bookmarkEnd w:id="30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Facility represented by (i) on or prior to the Closing Date, such Lender’s Commitment at such time and (ii) thereafter, the principal amount of such Lender’s Loans at such time. The initial Applicable Percentage of each Lender in respect of the Facility is set forth next to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359" w:lineRule="exact"/>
        <w:rPr>
          <w:sz w:val="20"/>
          <w:szCs w:val="20"/>
          <w:color w:val="auto"/>
        </w:rPr>
      </w:pPr>
    </w:p>
    <w:tbl>
      <w:tblPr>
        <w:tblLayout w:type="fixed"/>
        <w:tblInd w:w="190" w:type="dxa"/>
        <w:tblCellMar>
          <w:top w:w="0" w:type="dxa"/>
          <w:left w:w="0" w:type="dxa"/>
          <w:bottom w:w="0" w:type="dxa"/>
          <w:right w:w="0" w:type="dxa"/>
        </w:tblCellMar>
      </w:tblPr>
      <w:tr>
        <w:trPr>
          <w:trHeight w:val="234"/>
        </w:trPr>
        <w:tc>
          <w:tcPr>
            <w:tcW w:w="1460" w:type="dxa"/>
            <w:vAlign w:val="bottom"/>
            <w:tcBorders>
              <w:top w:val="single" w:sz="8" w:color="00000A"/>
              <w:left w:val="single" w:sz="8" w:color="00000A"/>
              <w:right w:val="single" w:sz="8" w:color="00000A"/>
            </w:tcBorders>
          </w:tcPr>
          <w:p>
            <w:pPr>
              <w:spacing w:after="0"/>
              <w:rPr>
                <w:sz w:val="20"/>
                <w:szCs w:val="20"/>
                <w:color w:val="auto"/>
              </w:rPr>
            </w:pPr>
          </w:p>
        </w:tc>
        <w:tc>
          <w:tcPr>
            <w:tcW w:w="600" w:type="dxa"/>
            <w:vAlign w:val="bottom"/>
            <w:tcBorders>
              <w:top w:val="single" w:sz="8" w:color="00000A"/>
            </w:tcBorders>
          </w:tcPr>
          <w:p>
            <w:pPr>
              <w:spacing w:after="0"/>
              <w:rPr>
                <w:sz w:val="20"/>
                <w:szCs w:val="20"/>
                <w:color w:val="auto"/>
              </w:rPr>
            </w:pPr>
          </w:p>
        </w:tc>
        <w:tc>
          <w:tcPr>
            <w:tcW w:w="100" w:type="dxa"/>
            <w:vAlign w:val="bottom"/>
            <w:tcBorders>
              <w:top w:val="single" w:sz="8" w:color="00000A"/>
            </w:tcBorders>
          </w:tcPr>
          <w:p>
            <w:pPr>
              <w:spacing w:after="0"/>
              <w:rPr>
                <w:sz w:val="20"/>
                <w:szCs w:val="20"/>
                <w:color w:val="auto"/>
              </w:rPr>
            </w:pPr>
          </w:p>
        </w:tc>
        <w:tc>
          <w:tcPr>
            <w:tcW w:w="40" w:type="dxa"/>
            <w:vAlign w:val="bottom"/>
            <w:tcBorders>
              <w:top w:val="single" w:sz="8" w:color="00000A"/>
            </w:tcBorders>
          </w:tcPr>
          <w:p>
            <w:pPr>
              <w:spacing w:after="0"/>
              <w:rPr>
                <w:sz w:val="20"/>
                <w:szCs w:val="20"/>
                <w:color w:val="auto"/>
              </w:rPr>
            </w:pPr>
          </w:p>
        </w:tc>
        <w:tc>
          <w:tcPr>
            <w:tcW w:w="100" w:type="dxa"/>
            <w:vAlign w:val="bottom"/>
            <w:tcBorders>
              <w:top w:val="single" w:sz="8" w:color="00000A"/>
            </w:tcBorders>
          </w:tcPr>
          <w:p>
            <w:pPr>
              <w:spacing w:after="0"/>
              <w:rPr>
                <w:sz w:val="20"/>
                <w:szCs w:val="20"/>
                <w:color w:val="auto"/>
              </w:rPr>
            </w:pPr>
          </w:p>
        </w:tc>
        <w:tc>
          <w:tcPr>
            <w:tcW w:w="1500" w:type="dxa"/>
            <w:vAlign w:val="bottom"/>
            <w:tcBorders>
              <w:top w:val="single" w:sz="8" w:color="00000A"/>
              <w:right w:val="single" w:sz="8" w:color="00000A"/>
            </w:tcBorders>
          </w:tcPr>
          <w:p>
            <w:pPr>
              <w:spacing w:after="0"/>
              <w:rPr>
                <w:sz w:val="20"/>
                <w:szCs w:val="20"/>
                <w:color w:val="auto"/>
              </w:rPr>
            </w:pPr>
          </w:p>
        </w:tc>
        <w:tc>
          <w:tcPr>
            <w:tcW w:w="40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c>
          <w:tcPr>
            <w:tcW w:w="32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 Margin for</w:t>
            </w:r>
          </w:p>
        </w:tc>
      </w:tr>
      <w:tr>
        <w:trPr>
          <w:trHeight w:val="238"/>
        </w:trPr>
        <w:tc>
          <w:tcPr>
            <w:tcW w:w="14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600" w:type="dxa"/>
            <w:vAlign w:val="bottom"/>
          </w:tcPr>
          <w:p>
            <w:pPr>
              <w:spacing w:after="0"/>
              <w:rPr>
                <w:sz w:val="20"/>
                <w:szCs w:val="20"/>
                <w:color w:val="auto"/>
              </w:rPr>
            </w:pPr>
          </w:p>
        </w:tc>
        <w:tc>
          <w:tcPr>
            <w:tcW w:w="1740" w:type="dxa"/>
            <w:vAlign w:val="bottom"/>
            <w:tcBorders>
              <w:right w:val="single" w:sz="8" w:color="00000A"/>
            </w:tcBorders>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Debt Rating</w:t>
            </w:r>
          </w:p>
        </w:tc>
        <w:tc>
          <w:tcPr>
            <w:tcW w:w="40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Eurocurrency Loans</w:t>
            </w:r>
          </w:p>
        </w:tc>
        <w:tc>
          <w:tcPr>
            <w:tcW w:w="3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r>
      <w:tr>
        <w:trPr>
          <w:trHeight w:val="27"/>
        </w:trPr>
        <w:tc>
          <w:tcPr>
            <w:tcW w:w="1460" w:type="dxa"/>
            <w:vAlign w:val="bottom"/>
            <w:tcBorders>
              <w:left w:val="single" w:sz="8" w:color="00000A"/>
              <w:bottom w:val="single" w:sz="8" w:color="00000A"/>
              <w:right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500" w:type="dxa"/>
            <w:vAlign w:val="bottom"/>
            <w:tcBorders>
              <w:bottom w:val="single" w:sz="8" w:color="00000A"/>
              <w:right w:val="single" w:sz="8" w:color="00000A"/>
            </w:tcBorders>
          </w:tcPr>
          <w:p>
            <w:pPr>
              <w:spacing w:after="0"/>
              <w:rPr>
                <w:sz w:val="2"/>
                <w:szCs w:val="2"/>
                <w:color w:val="auto"/>
              </w:rPr>
            </w:pPr>
          </w:p>
        </w:tc>
        <w:tc>
          <w:tcPr>
            <w:tcW w:w="4080" w:type="dxa"/>
            <w:vAlign w:val="bottom"/>
            <w:tcBorders>
              <w:bottom w:val="single" w:sz="8" w:color="00000A"/>
              <w:right w:val="single" w:sz="8" w:color="00000A"/>
            </w:tcBorders>
          </w:tcPr>
          <w:p>
            <w:pPr>
              <w:spacing w:after="0"/>
              <w:rPr>
                <w:sz w:val="2"/>
                <w:szCs w:val="2"/>
                <w:color w:val="auto"/>
              </w:rPr>
            </w:pPr>
          </w:p>
        </w:tc>
        <w:tc>
          <w:tcPr>
            <w:tcW w:w="3220" w:type="dxa"/>
            <w:vAlign w:val="bottom"/>
            <w:tcBorders>
              <w:bottom w:val="single" w:sz="8" w:color="00000A"/>
              <w:right w:val="single" w:sz="8" w:color="00000A"/>
            </w:tcBorders>
          </w:tcPr>
          <w:p>
            <w:pPr>
              <w:spacing w:after="0"/>
              <w:rPr>
                <w:sz w:val="2"/>
                <w:szCs w:val="2"/>
                <w:color w:val="auto"/>
              </w:rPr>
            </w:pPr>
          </w:p>
        </w:tc>
      </w:tr>
      <w:tr>
        <w:trPr>
          <w:trHeight w:val="196"/>
        </w:trPr>
        <w:tc>
          <w:tcPr>
            <w:tcW w:w="146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600" w:type="dxa"/>
            <w:vAlign w:val="bottom"/>
          </w:tcPr>
          <w:p>
            <w:pPr>
              <w:spacing w:after="0"/>
              <w:rPr>
                <w:sz w:val="17"/>
                <w:szCs w:val="17"/>
                <w:color w:val="auto"/>
              </w:rPr>
            </w:pPr>
          </w:p>
        </w:tc>
        <w:tc>
          <w:tcPr>
            <w:tcW w:w="1740" w:type="dxa"/>
            <w:vAlign w:val="bottom"/>
            <w:tcBorders>
              <w:right w:val="single" w:sz="8" w:color="00000A"/>
            </w:tcBorders>
            <w:gridSpan w:val="4"/>
          </w:tcPr>
          <w:p>
            <w:pPr>
              <w:jc w:val="center"/>
              <w:ind w:right="640"/>
              <w:spacing w:after="0" w:line="196" w:lineRule="exact"/>
              <w:rPr>
                <w:sz w:val="20"/>
                <w:szCs w:val="20"/>
                <w:color w:val="auto"/>
              </w:rPr>
            </w:pPr>
            <w:r>
              <w:rPr>
                <w:rFonts w:ascii="Times New Roman" w:cs="Times New Roman" w:eastAsia="Times New Roman" w:hAnsi="Times New Roman"/>
                <w:sz w:val="18"/>
                <w:szCs w:val="18"/>
                <w:color w:val="auto"/>
                <w:w w:val="98"/>
              </w:rPr>
              <w:t>&gt; BBB+ / Baa1</w:t>
            </w:r>
          </w:p>
        </w:tc>
        <w:tc>
          <w:tcPr>
            <w:tcW w:w="40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32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0.000%</w:t>
            </w:r>
          </w:p>
        </w:tc>
      </w:tr>
      <w:tr>
        <w:trPr>
          <w:trHeight w:val="48"/>
        </w:trPr>
        <w:tc>
          <w:tcPr>
            <w:tcW w:w="1460" w:type="dxa"/>
            <w:vAlign w:val="bottom"/>
            <w:tcBorders>
              <w:left w:val="single" w:sz="8" w:color="00000A"/>
              <w:bottom w:val="single" w:sz="8" w:color="00000A"/>
              <w:right w:val="single" w:sz="8" w:color="00000A"/>
            </w:tcBorders>
          </w:tcPr>
          <w:p>
            <w:pPr>
              <w:spacing w:after="0"/>
              <w:rPr>
                <w:sz w:val="4"/>
                <w:szCs w:val="4"/>
                <w:color w:val="auto"/>
              </w:rPr>
            </w:pPr>
          </w:p>
        </w:tc>
        <w:tc>
          <w:tcPr>
            <w:tcW w:w="600" w:type="dxa"/>
            <w:vAlign w:val="bottom"/>
            <w:tcBorders>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4080" w:type="dxa"/>
            <w:vAlign w:val="bottom"/>
            <w:tcBorders>
              <w:bottom w:val="single" w:sz="8" w:color="00000A"/>
              <w:right w:val="single" w:sz="8" w:color="00000A"/>
            </w:tcBorders>
          </w:tcPr>
          <w:p>
            <w:pPr>
              <w:spacing w:after="0"/>
              <w:rPr>
                <w:sz w:val="4"/>
                <w:szCs w:val="4"/>
                <w:color w:val="auto"/>
              </w:rPr>
            </w:pPr>
          </w:p>
        </w:tc>
        <w:tc>
          <w:tcPr>
            <w:tcW w:w="3220" w:type="dxa"/>
            <w:vAlign w:val="bottom"/>
            <w:tcBorders>
              <w:bottom w:val="single" w:sz="8" w:color="00000A"/>
              <w:right w:val="single" w:sz="8" w:color="00000A"/>
            </w:tcBorders>
          </w:tcPr>
          <w:p>
            <w:pPr>
              <w:spacing w:after="0"/>
              <w:rPr>
                <w:sz w:val="4"/>
                <w:szCs w:val="4"/>
                <w:color w:val="auto"/>
              </w:rPr>
            </w:pPr>
          </w:p>
        </w:tc>
      </w:tr>
      <w:tr>
        <w:trPr>
          <w:trHeight w:val="237"/>
        </w:trPr>
        <w:tc>
          <w:tcPr>
            <w:tcW w:w="14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right w:val="single" w:sz="8" w:color="00000A"/>
            </w:tcBorders>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8"/>
              </w:rPr>
              <w:t>BBB / Baa2</w:t>
            </w:r>
          </w:p>
        </w:tc>
        <w:tc>
          <w:tcPr>
            <w:tcW w:w="40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3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r>
      <w:tr>
        <w:trPr>
          <w:trHeight w:val="27"/>
        </w:trPr>
        <w:tc>
          <w:tcPr>
            <w:tcW w:w="1460" w:type="dxa"/>
            <w:vAlign w:val="bottom"/>
            <w:tcBorders>
              <w:left w:val="single" w:sz="8" w:color="00000A"/>
              <w:bottom w:val="single" w:sz="8" w:color="00000A"/>
              <w:right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500" w:type="dxa"/>
            <w:vAlign w:val="bottom"/>
            <w:tcBorders>
              <w:bottom w:val="single" w:sz="8" w:color="00000A"/>
              <w:right w:val="single" w:sz="8" w:color="00000A"/>
            </w:tcBorders>
          </w:tcPr>
          <w:p>
            <w:pPr>
              <w:spacing w:after="0"/>
              <w:rPr>
                <w:sz w:val="2"/>
                <w:szCs w:val="2"/>
                <w:color w:val="auto"/>
              </w:rPr>
            </w:pPr>
          </w:p>
        </w:tc>
        <w:tc>
          <w:tcPr>
            <w:tcW w:w="4080" w:type="dxa"/>
            <w:vAlign w:val="bottom"/>
            <w:tcBorders>
              <w:bottom w:val="single" w:sz="8" w:color="00000A"/>
              <w:right w:val="single" w:sz="8" w:color="00000A"/>
            </w:tcBorders>
          </w:tcPr>
          <w:p>
            <w:pPr>
              <w:spacing w:after="0"/>
              <w:rPr>
                <w:sz w:val="2"/>
                <w:szCs w:val="2"/>
                <w:color w:val="auto"/>
              </w:rPr>
            </w:pPr>
          </w:p>
        </w:tc>
        <w:tc>
          <w:tcPr>
            <w:tcW w:w="3220" w:type="dxa"/>
            <w:vAlign w:val="bottom"/>
            <w:tcBorders>
              <w:bottom w:val="single" w:sz="8" w:color="00000A"/>
              <w:right w:val="single" w:sz="8" w:color="00000A"/>
            </w:tcBorders>
          </w:tcPr>
          <w:p>
            <w:pPr>
              <w:spacing w:after="0"/>
              <w:rPr>
                <w:sz w:val="2"/>
                <w:szCs w:val="2"/>
                <w:color w:val="auto"/>
              </w:rPr>
            </w:pPr>
          </w:p>
        </w:tc>
      </w:tr>
      <w:tr>
        <w:trPr>
          <w:trHeight w:val="237"/>
        </w:trPr>
        <w:tc>
          <w:tcPr>
            <w:tcW w:w="14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600" w:type="dxa"/>
            <w:vAlign w:val="bottom"/>
          </w:tcPr>
          <w:p>
            <w:pPr>
              <w:spacing w:after="0"/>
              <w:rPr>
                <w:sz w:val="20"/>
                <w:szCs w:val="20"/>
                <w:color w:val="auto"/>
              </w:rPr>
            </w:pPr>
          </w:p>
        </w:tc>
        <w:tc>
          <w:tcPr>
            <w:tcW w:w="1740" w:type="dxa"/>
            <w:vAlign w:val="bottom"/>
            <w:tcBorders>
              <w:right w:val="single" w:sz="8" w:color="00000A"/>
            </w:tcBorders>
            <w:gridSpan w:val="4"/>
          </w:tcPr>
          <w:p>
            <w:pPr>
              <w:jc w:val="center"/>
              <w:ind w:right="640"/>
              <w:spacing w:after="0"/>
              <w:rPr>
                <w:sz w:val="20"/>
                <w:szCs w:val="20"/>
                <w:color w:val="auto"/>
              </w:rPr>
            </w:pPr>
            <w:r>
              <w:rPr>
                <w:rFonts w:ascii="Times New Roman" w:cs="Times New Roman" w:eastAsia="Times New Roman" w:hAnsi="Times New Roman"/>
                <w:sz w:val="18"/>
                <w:szCs w:val="18"/>
                <w:color w:val="auto"/>
              </w:rPr>
              <w:t>BBB- / Baa3</w:t>
            </w:r>
          </w:p>
        </w:tc>
        <w:tc>
          <w:tcPr>
            <w:tcW w:w="40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3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0.375%</w:t>
            </w:r>
          </w:p>
        </w:tc>
      </w:tr>
      <w:tr>
        <w:trPr>
          <w:trHeight w:val="27"/>
        </w:trPr>
        <w:tc>
          <w:tcPr>
            <w:tcW w:w="1460" w:type="dxa"/>
            <w:vAlign w:val="bottom"/>
            <w:tcBorders>
              <w:left w:val="single" w:sz="8" w:color="00000A"/>
              <w:bottom w:val="single" w:sz="8" w:color="00000A"/>
              <w:right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500" w:type="dxa"/>
            <w:vAlign w:val="bottom"/>
            <w:tcBorders>
              <w:bottom w:val="single" w:sz="8" w:color="00000A"/>
              <w:right w:val="single" w:sz="8" w:color="00000A"/>
            </w:tcBorders>
          </w:tcPr>
          <w:p>
            <w:pPr>
              <w:spacing w:after="0"/>
              <w:rPr>
                <w:sz w:val="2"/>
                <w:szCs w:val="2"/>
                <w:color w:val="auto"/>
              </w:rPr>
            </w:pPr>
          </w:p>
        </w:tc>
        <w:tc>
          <w:tcPr>
            <w:tcW w:w="4080" w:type="dxa"/>
            <w:vAlign w:val="bottom"/>
            <w:tcBorders>
              <w:bottom w:val="single" w:sz="8" w:color="00000A"/>
              <w:right w:val="single" w:sz="8" w:color="00000A"/>
            </w:tcBorders>
          </w:tcPr>
          <w:p>
            <w:pPr>
              <w:spacing w:after="0"/>
              <w:rPr>
                <w:sz w:val="2"/>
                <w:szCs w:val="2"/>
                <w:color w:val="auto"/>
              </w:rPr>
            </w:pPr>
          </w:p>
        </w:tc>
        <w:tc>
          <w:tcPr>
            <w:tcW w:w="3220" w:type="dxa"/>
            <w:vAlign w:val="bottom"/>
            <w:tcBorders>
              <w:bottom w:val="single" w:sz="8" w:color="00000A"/>
              <w:right w:val="single" w:sz="8" w:color="00000A"/>
            </w:tcBorders>
          </w:tcPr>
          <w:p>
            <w:pPr>
              <w:spacing w:after="0"/>
              <w:rPr>
                <w:sz w:val="2"/>
                <w:szCs w:val="2"/>
                <w:color w:val="auto"/>
              </w:rPr>
            </w:pPr>
          </w:p>
        </w:tc>
      </w:tr>
      <w:tr>
        <w:trPr>
          <w:trHeight w:val="237"/>
        </w:trPr>
        <w:tc>
          <w:tcPr>
            <w:tcW w:w="14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tcBorders>
              <w:right w:val="single" w:sz="8" w:color="00000A"/>
            </w:tcBorders>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BB+ / Ba1</w:t>
            </w:r>
          </w:p>
        </w:tc>
        <w:tc>
          <w:tcPr>
            <w:tcW w:w="40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32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0.625%</w:t>
            </w:r>
          </w:p>
        </w:tc>
      </w:tr>
      <w:tr>
        <w:trPr>
          <w:trHeight w:val="27"/>
        </w:trPr>
        <w:tc>
          <w:tcPr>
            <w:tcW w:w="1460" w:type="dxa"/>
            <w:vAlign w:val="bottom"/>
            <w:tcBorders>
              <w:left w:val="single" w:sz="8" w:color="00000A"/>
              <w:bottom w:val="single" w:sz="8" w:color="00000A"/>
              <w:right w:val="single" w:sz="8" w:color="00000A"/>
            </w:tcBorders>
          </w:tcPr>
          <w:p>
            <w:pPr>
              <w:spacing w:after="0"/>
              <w:rPr>
                <w:sz w:val="2"/>
                <w:szCs w:val="2"/>
                <w:color w:val="auto"/>
              </w:rPr>
            </w:pPr>
          </w:p>
        </w:tc>
        <w:tc>
          <w:tcPr>
            <w:tcW w:w="60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500" w:type="dxa"/>
            <w:vAlign w:val="bottom"/>
            <w:tcBorders>
              <w:bottom w:val="single" w:sz="8" w:color="00000A"/>
              <w:right w:val="single" w:sz="8" w:color="00000A"/>
            </w:tcBorders>
          </w:tcPr>
          <w:p>
            <w:pPr>
              <w:spacing w:after="0"/>
              <w:rPr>
                <w:sz w:val="2"/>
                <w:szCs w:val="2"/>
                <w:color w:val="auto"/>
              </w:rPr>
            </w:pPr>
          </w:p>
        </w:tc>
        <w:tc>
          <w:tcPr>
            <w:tcW w:w="4080" w:type="dxa"/>
            <w:vAlign w:val="bottom"/>
            <w:tcBorders>
              <w:bottom w:val="single" w:sz="8" w:color="00000A"/>
              <w:right w:val="single" w:sz="8" w:color="00000A"/>
            </w:tcBorders>
          </w:tcPr>
          <w:p>
            <w:pPr>
              <w:spacing w:after="0"/>
              <w:rPr>
                <w:sz w:val="2"/>
                <w:szCs w:val="2"/>
                <w:color w:val="auto"/>
              </w:rPr>
            </w:pPr>
          </w:p>
        </w:tc>
        <w:tc>
          <w:tcPr>
            <w:tcW w:w="3220" w:type="dxa"/>
            <w:vAlign w:val="bottom"/>
            <w:tcBorders>
              <w:bottom w:val="single" w:sz="8" w:color="00000A"/>
              <w:right w:val="single" w:sz="8" w:color="00000A"/>
            </w:tcBorders>
          </w:tcPr>
          <w:p>
            <w:pPr>
              <w:spacing w:after="0"/>
              <w:rPr>
                <w:sz w:val="2"/>
                <w:szCs w:val="2"/>
                <w:color w:val="auto"/>
              </w:rPr>
            </w:pPr>
          </w:p>
        </w:tc>
      </w:tr>
      <w:tr>
        <w:trPr>
          <w:trHeight w:val="196"/>
        </w:trPr>
        <w:tc>
          <w:tcPr>
            <w:tcW w:w="1460" w:type="dxa"/>
            <w:vAlign w:val="bottom"/>
            <w:tcBorders>
              <w:left w:val="single" w:sz="8" w:color="00000A"/>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right w:val="single" w:sz="8" w:color="00000A"/>
            </w:tcBorders>
            <w:gridSpan w:val="2"/>
          </w:tcPr>
          <w:p>
            <w:pPr>
              <w:jc w:val="center"/>
              <w:ind w:right="780"/>
              <w:spacing w:after="0" w:line="196" w:lineRule="exact"/>
              <w:rPr>
                <w:sz w:val="20"/>
                <w:szCs w:val="20"/>
                <w:color w:val="auto"/>
              </w:rPr>
            </w:pPr>
            <w:r>
              <w:rPr>
                <w:rFonts w:ascii="Times New Roman" w:cs="Times New Roman" w:eastAsia="Times New Roman" w:hAnsi="Times New Roman"/>
                <w:sz w:val="18"/>
                <w:szCs w:val="18"/>
                <w:color w:val="auto"/>
              </w:rPr>
              <w:t>&lt; BB / Ba2</w:t>
            </w:r>
          </w:p>
        </w:tc>
        <w:tc>
          <w:tcPr>
            <w:tcW w:w="408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1.875%</w:t>
            </w:r>
          </w:p>
        </w:tc>
        <w:tc>
          <w:tcPr>
            <w:tcW w:w="3220" w:type="dxa"/>
            <w:vAlign w:val="bottom"/>
            <w:tcBorders>
              <w:right w:val="single" w:sz="8" w:color="00000A"/>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0.875%</w:t>
            </w:r>
          </w:p>
        </w:tc>
      </w:tr>
      <w:tr>
        <w:trPr>
          <w:trHeight w:val="48"/>
        </w:trPr>
        <w:tc>
          <w:tcPr>
            <w:tcW w:w="1460" w:type="dxa"/>
            <w:vAlign w:val="bottom"/>
            <w:tcBorders>
              <w:left w:val="single" w:sz="8" w:color="00000A"/>
              <w:bottom w:val="single" w:sz="8" w:color="00000A"/>
              <w:right w:val="single" w:sz="8" w:color="00000A"/>
            </w:tcBorders>
          </w:tcPr>
          <w:p>
            <w:pPr>
              <w:spacing w:after="0"/>
              <w:rPr>
                <w:sz w:val="4"/>
                <w:szCs w:val="4"/>
                <w:color w:val="auto"/>
              </w:rPr>
            </w:pPr>
          </w:p>
        </w:tc>
        <w:tc>
          <w:tcPr>
            <w:tcW w:w="60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500" w:type="dxa"/>
            <w:vAlign w:val="bottom"/>
            <w:tcBorders>
              <w:bottom w:val="single" w:sz="8" w:color="00000A"/>
              <w:right w:val="single" w:sz="8" w:color="00000A"/>
            </w:tcBorders>
          </w:tcPr>
          <w:p>
            <w:pPr>
              <w:spacing w:after="0"/>
              <w:rPr>
                <w:sz w:val="4"/>
                <w:szCs w:val="4"/>
                <w:color w:val="auto"/>
              </w:rPr>
            </w:pPr>
          </w:p>
        </w:tc>
        <w:tc>
          <w:tcPr>
            <w:tcW w:w="4080" w:type="dxa"/>
            <w:vAlign w:val="bottom"/>
            <w:tcBorders>
              <w:bottom w:val="single" w:sz="8" w:color="00000A"/>
              <w:right w:val="single" w:sz="8" w:color="00000A"/>
            </w:tcBorders>
          </w:tcPr>
          <w:p>
            <w:pPr>
              <w:spacing w:after="0"/>
              <w:rPr>
                <w:sz w:val="4"/>
                <w:szCs w:val="4"/>
                <w:color w:val="auto"/>
              </w:rPr>
            </w:pPr>
          </w:p>
        </w:tc>
        <w:tc>
          <w:tcPr>
            <w:tcW w:w="3220" w:type="dxa"/>
            <w:vAlign w:val="bottom"/>
            <w:tcBorders>
              <w:bottom w:val="single" w:sz="8" w:color="00000A"/>
              <w:right w:val="single" w:sz="8" w:color="00000A"/>
            </w:tcBorders>
          </w:tcPr>
          <w:p>
            <w:pPr>
              <w:spacing w:after="0"/>
              <w:rPr>
                <w:sz w:val="4"/>
                <w:szCs w:val="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Initially, the Applicable Rate shall be determined based upon Pricing Level 3.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“Cash Equivalents.”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Merrill Lynch, Pierce, Fenner &amp; Smith Incorporated, J.P. Morgan Securities LLC, PNC Capital Markets LLC and The Bank of Tokyo-Mitsubishi UFJ, Ltd.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Indebtedness</w:t>
      </w:r>
      <w:r>
        <w:rPr>
          <w:rFonts w:ascii="Times New Roman" w:cs="Times New Roman" w:eastAsia="Times New Roman" w:hAnsi="Times New Roman"/>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20" w:right="2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color w:val="auto"/>
        </w:rPr>
        <w:t>under the Permitted Receivables Facility if the same were structured as a secured lending agreement rather than a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Federal Funds Effective Rate in effect on such day plus 1/2 of 1%, (b) the rate of interest in effect for such day as publicly announced from time to time by Bank of America as its “prime rate,” and (c) the LIBO Rate in effect on such day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Mylan Inc., a Pennsylvania corporation, or the Successor Borrower,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the Borrower and, if applicable, the Designated Borrower.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on the Closing Date, or converted or continued on the same date and, in the case of Eurocurrency 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with respect to Eurodollar Loans $5,000,000.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with respect to Eurodollar Loans $1,000,000.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applicable Borrower for a Borrowing in accordance with Section 2.03.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or the state of New York and, if such day relates to any interest rate settings as to a Eurocurrency Loan, or any other dealings to be carried out pursuant to this Agreement in respect of any such Eurocurrency Loan, means any such day on which dealings in deposits in Dollars are conducted by and between banks in the London interbank eurodollar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1" w:right="239" w:bottom="1440" w:gutter="0" w:footer="0" w:header="0"/>
        </w:sectPr>
      </w:pPr>
    </w:p>
    <w:bookmarkStart w:id="307" w:name="page308"/>
    <w:bookmarkEnd w:id="307"/>
    <w:p>
      <w:pPr>
        <w:ind w:right="20"/>
        <w:spacing w:after="0" w:line="282" w:lineRule="auto"/>
        <w:rPr>
          <w:sz w:val="20"/>
          <w:szCs w:val="20"/>
          <w:color w:val="auto"/>
        </w:rPr>
      </w:pPr>
      <w:r>
        <w:rPr>
          <w:rFonts w:ascii="Times New Roman" w:cs="Times New Roman" w:eastAsia="Times New Roman" w:hAnsi="Times New Roman"/>
          <w:sz w:val="18"/>
          <w:szCs w:val="18"/>
          <w:color w:val="auto"/>
        </w:rPr>
        <w:t>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American Triumvirate Insurance Company, a Vermont corporation or any successor thereto, so long as such Subsidiary is maintained as a special purpose self-insurance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card obligations</w:t>
      </w:r>
      <w:r>
        <w:rPr>
          <w:rFonts w:ascii="Times New Roman" w:cs="Times New Roman" w:eastAsia="Times New Roman" w:hAnsi="Times New Roman"/>
          <w:sz w:val="18"/>
          <w:szCs w:val="18"/>
          <w:color w:val="auto"/>
        </w:rPr>
        <w:t>” means any Loan Party or any Subsidiary’s participation in commercial (or purchasing) card programs.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Convertible Notes</w:t>
      </w:r>
      <w:r>
        <w:rPr>
          <w:rFonts w:ascii="Times New Roman" w:cs="Times New Roman" w:eastAsia="Times New Roman" w:hAnsi="Times New Roman"/>
          <w:sz w:val="18"/>
          <w:szCs w:val="18"/>
          <w:color w:val="auto"/>
        </w:rPr>
        <w:t>” means the Borrower’s 3.75% Cash Convertible Notes due 2015.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82" w:lineRule="auto"/>
        <w:tabs>
          <w:tab w:leader="none" w:pos="107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Indebtedness issued or directly and fully guaranteed or insured by the government or any agency or instrumentality of (i) the United States or (ii) any member nation of the European Union;</w:t>
      </w:r>
    </w:p>
    <w:p>
      <w:pPr>
        <w:spacing w:after="0" w:line="161" w:lineRule="exact"/>
        <w:rPr>
          <w:rFonts w:ascii="Times New Roman" w:cs="Times New Roman" w:eastAsia="Times New Roman" w:hAnsi="Times New Roman"/>
          <w:sz w:val="18"/>
          <w:szCs w:val="18"/>
          <w:color w:val="auto"/>
        </w:rPr>
      </w:pPr>
    </w:p>
    <w:p>
      <w:pPr>
        <w:jc w:val="both"/>
        <w:ind w:firstLine="656"/>
        <w:spacing w:after="0" w:line="220" w:lineRule="exact"/>
        <w:tabs>
          <w:tab w:leader="none" w:pos="10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Issues with only one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credit rating must have a minimum credit rating of A 1, P 1 or F 1;</w:t>
      </w:r>
    </w:p>
    <w:p>
      <w:pPr>
        <w:spacing w:after="0" w:line="20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asset-backed securities rated AAA by Moody’s, S&amp;P, or Fitch, with weighted average lives of 3 years or less (measured to the next maturity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and reverse repurchase agreements relating to marketable direct obligations issued or unconditionally guaranteed or insured by the government or any agency or instrumentality of (i) the United States or (ii) any member nation of the European Union maturing within 365 days from the date of acquisition;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which invest substantially all of their assets in assets described in the preceding clauses (1) through (5);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7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(1) through (6) above denominated in any foreign currency comparable in credit quality and tenor to those referred to above and customarily used by corporations for cash management purposes in any jurisdiction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21"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outside the United States to the extent reasonably required in connection with any business conducted by any Subsidiary organized in such jurisdiction;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in the case of clauses (4) and (5) above, the maximum maturity date of individual securities or deposits will be 3 years or less at the time of purchase or deposit.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jc w:val="both"/>
        <w:ind w:firstLine="656"/>
        <w:spacing w:after="0" w:line="258" w:lineRule="auto"/>
        <w:tabs>
          <w:tab w:leader="none" w:pos="122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consummation of the Specified Acquisition Transaction (i)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Mylan or (ii) occupation of a majority of the seats (other than vacant seats) on the board of directors of Mylan by Persons who were neither (A) nominated by the board of directors of Mylan nor (B) appointed by directors so nominated; or</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Specified Acquisition Transaction (i) the acquisition of beneficial ownership, directly or indirectly, by any Person or group (within the meaning of the Securities Exchange Act of 1934 and the rules of the SEC thereunder as in effect on the Closing Date) other than the Foundation, of Equity Interests representing more than 35% of the aggregate ordinary voting power represented by the issued and outstanding Equity Interests of New Mylan or (ii) occupation of a majority of the seats (other than vacant seats) on the board of directors of New Mylan by Persons who were not</w:t>
      </w:r>
    </w:p>
    <w:p>
      <w:pPr>
        <w:spacing w:after="0" w:line="2" w:lineRule="exact"/>
        <w:rPr>
          <w:rFonts w:ascii="Times New Roman" w:cs="Times New Roman" w:eastAsia="Times New Roman" w:hAnsi="Times New Roman"/>
          <w:sz w:val="18"/>
          <w:szCs w:val="18"/>
          <w:color w:val="auto"/>
        </w:rPr>
      </w:pPr>
    </w:p>
    <w:p>
      <w:pPr>
        <w:jc w:val="both"/>
        <w:ind w:firstLine="8"/>
        <w:spacing w:after="0" w:line="254" w:lineRule="auto"/>
        <w:tabs>
          <w:tab w:leader="none" w:pos="30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members of the board of directors of Mylan, or (B) nominated by the board of directors of New Mylan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event described by clause (i) or (ii) of this clause (b) that lasts for fewer than 60 days shall not constitute a Change in Control if prior to the expiration of such period, the Foundation exercises its right to acquire Equity Interests in New Mylan such that the event that would otherwise constitute a Change in Control has ceased to exist (it being understood that during such period a Default (but not an Event of Default) shall exist hereunder ); or</w:t>
      </w:r>
    </w:p>
    <w:p>
      <w:pPr>
        <w:spacing w:after="0" w:line="185" w:lineRule="exact"/>
        <w:rPr>
          <w:rFonts w:ascii="Times New Roman" w:cs="Times New Roman" w:eastAsia="Times New Roman" w:hAnsi="Times New Roman"/>
          <w:sz w:val="18"/>
          <w:szCs w:val="18"/>
          <w:color w:val="auto"/>
        </w:rPr>
      </w:pPr>
    </w:p>
    <w:p>
      <w:pPr>
        <w:ind w:right="20" w:firstLine="656"/>
        <w:spacing w:after="0" w:line="282" w:lineRule="auto"/>
        <w:tabs>
          <w:tab w:leader="none" w:pos="103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consummation of the Specified Acquisition Transaction, the failure of New Mylan to own, directly or indirectly, one hundred percent (100%) of the Equity Interests of Mylan.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Section 2.14(b),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21" w:right="239" w:bottom="1440" w:gutter="0" w:footer="0" w:header="0"/>
        </w:sectPr>
      </w:pPr>
    </w:p>
    <w:bookmarkStart w:id="309" w:name="page310"/>
    <w:bookmarkEnd w:id="3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authorities, in each case pursuant to Basel III, shall in each case be deemed to be a “Change in Law”, regardless of the date enacted, adopted or issued.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have the meaning assigned to such term in Section 9.14.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specified in Section 4.01 of this Agreement were satisfied (or waived in accordance with Section 9.02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 at any time prior to the consummation of the Specified Acquisition Transaction, Mylan and (b) thereafter, New Mylan.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Company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(ix) without duplication, income of any non-wholly owned Subsidiaries and deductions attributable to minority interests, (x) any non-cash costs or expenses incurred by the Company or any Subsidiary pursuant to any management equity plan or stock plan, (xi) expenses with respect to casualty events, (xii) the amount of net cost savings in connection with any acquisition of an Acquired Entity or Business or otherwise projected by the Company in good faith to be realized as a result of specified actions taken prior to the last day of such period (calculated on a pro forma basis as though such cost savings had been realized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20" w:right="239" w:bottom="1440" w:gutter="0" w:footer="0" w:header="0"/>
        </w:sectPr>
      </w:pPr>
    </w:p>
    <w:bookmarkStart w:id="310" w:name="page311"/>
    <w:bookmarkEnd w:id="31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connection with any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Company and its Subsidiaries (other than the Captive Insurance Subsidiary) in accordance with GAAP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 (iii) amortization of deferred financing fees and (iv) expensing of bridge or other financing fees) of the Company and its Subsidiaries (other than the Captive Insurance Subsidiary) calculated on a consolidated basis for such period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without duplication: (a) imputed interest attributable to Capital Lease Obligations of the Company and its Subsidiaries (other than the Captive Insurance Subsidiary) for such period, (b) commissions, discounts and other fees and charges owed by the Company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Company and its Subsidiaries (other than the Captive Insurance Subsidiary) for such period, (d) cash contributions to any employee stock ownership plan or similar trust made by the Company or any of its Subsidiaries to the extent such contributions are used by such plan or trust to pay interest or fees to any Person (other than the Company or a wholly owned Subsidiary)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620" w:right="239" w:bottom="1440" w:gutter="0" w:footer="0" w:header="0"/>
        </w:sectPr>
      </w:pPr>
    </w:p>
    <w:bookmarkStart w:id="311" w:name="page312"/>
    <w:bookmarkEnd w:id="311"/>
    <w:p>
      <w:pPr>
        <w:jc w:val="both"/>
        <w:spacing w:after="0" w:line="258" w:lineRule="auto"/>
        <w:rPr>
          <w:sz w:val="20"/>
          <w:szCs w:val="20"/>
          <w:color w:val="auto"/>
        </w:rPr>
      </w:pPr>
      <w:r>
        <w:rPr>
          <w:rFonts w:ascii="Times New Roman" w:cs="Times New Roman" w:eastAsia="Times New Roman" w:hAnsi="Times New Roman"/>
          <w:sz w:val="18"/>
          <w:szCs w:val="18"/>
          <w:color w:val="auto"/>
        </w:rPr>
        <w:t>connection with Indebtedness incurred by such plan or trust for such period, (e) all interest paid or payable with respect to discontinued operations of the Company or any of its Subsidiaries for such period, (f) the interest portion of any deferred payment obligations of the Company or any of its Subsidiaries (other than the Captive Insurance Subsidiary) for such period, (g) all interest on any Indebtedness of the Company or any of its Subsidiaries (other than the Captive Insurance Subsidiary) of the type described in clause (e) or (f) of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for such period and (h) the interest component of all Attributable Receivables Indebtedness of the Company and its Subsidiaries (other than the Captive Insurance Subsidiary).</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means, for any Test Period, the ratio of (a) Consolidated Total Indebtedness as of the last day of such Test Period to (b) Consolidated EBITDA for such Test Period.</w:t>
      </w:r>
    </w:p>
    <w:p>
      <w:pPr>
        <w:spacing w:after="0" w:line="162"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calculating Consolidated Net Income of the Company and its Subsidiaries for any period, there shall be excluded (a) the income (or deficit) of any Person accrued prior to the date it becomes a Subsidiary of the Company or is merged into or consolidated with the Company or any of its Subsidiaries, (b) 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Company and its Subsidiaries), as a result of any acquisition, or the amortization or write-off of any amounts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21" w:right="239" w:bottom="1440" w:gutter="0" w:footer="0" w:header="0"/>
        </w:sectPr>
      </w:pPr>
    </w:p>
    <w:bookmarkStart w:id="312" w:name="page313"/>
    <w:bookmarkEnd w:id="3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with respect to the Company,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Company and its Subsidiaries delivered pursuant to Section 5.01(a) or (b).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Subsidiaries that would be consolidated with the Company in accordance with GAAP.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Company and its Subsidiaries calculated in accordance with GAAP on a consolidated basis as of such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at any time the sum, without duplication, of (i) the aggregate principal amount of Indebtedness of the Company and its Subsidiaries (other than the Captive Insurance Subsidiary) outstanding as of such time calculated on a consolidated basis (other than Indebtedness described in clause (h), (i) or (j) of the definition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principal amount of any obligations of any Person (other than the Company or any Subsidiary) of the type described in the foregoing clause (i) that are Guaranteed by the Company or any Subsidiary (whether or not reflected on a consolidated balance sheet of the Company).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with respect to any Person, the power, directly or indirectly, to direct or cause the direction of the management and policies of such Person, whether by contract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United Kingdom Corporation Tax Act 2009.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of (a) Mylan’s non-credit-enhanced, senior unsecured long-term debt (provided that (x) Mylan remains a Borrower or a Guarantor and (y) clause (b) below is not then applicable) or (b) after the consummation of the Specified Acquisition Transaction, New Mylan’s non-credit-enhanced, senior unsecured long-term debt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21" w:right="239" w:bottom="1440" w:gutter="0" w:footer="0" w:header="0"/>
        </w:sectPr>
      </w:pPr>
    </w:p>
    <w:bookmarkStart w:id="313" w:name="page314"/>
    <w:bookmarkEnd w:id="31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(provided that (x) New Mylan is a Borrower or a Guarantor and (y) a Debt Rating for New Mylan is then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respective Debt Ratings issued by the foregoing rating agencies differ by one level, then the Pricing Level for the higher of such Debt Ratings shall apply (with the Debt Rating for Pricing Level 1 being the highest and the Debt Rating for Pricing Level 5 being the lowest); (ii) if there is a split in Debt Ratings of more than one level, then the Pricing Level that is one level higher than the Pricing Level of the lower Debt Rating shall apply; (iii) if there exists only one Debt Rating, such Debt Rating shall apply; and (iv) if no Debt Rating is available, Pricing Level 5 shall apply.</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has the meaning set forth in Section 2.12(c).</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to (i) fund all or any portion of any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Company or the Administrative Agent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21" w:right="239" w:bottom="1440" w:gutter="0" w:footer="0" w:header="0"/>
        </w:sectPr>
      </w:pPr>
    </w:p>
    <w:bookmarkStart w:id="314" w:name="page315"/>
    <w:bookmarkEnd w:id="314"/>
    <w:p>
      <w:pPr>
        <w:jc w:val="both"/>
        <w:spacing w:after="0" w:line="261" w:lineRule="auto"/>
        <w:rPr>
          <w:sz w:val="20"/>
          <w:szCs w:val="20"/>
          <w:color w:val="auto"/>
        </w:rPr>
      </w:pPr>
      <w:r>
        <w:rPr>
          <w:rFonts w:ascii="Times New Roman" w:cs="Times New Roman" w:eastAsia="Times New Roman" w:hAnsi="Times New Roman"/>
          <w:sz w:val="18"/>
          <w:szCs w:val="18"/>
          <w:color w:val="auto"/>
        </w:rPr>
        <w:t>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the Company and each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has the meaning specified in Section 2.21.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and proceedings and the environmental matters disclosed in any reports, schedules, forms, proxy statements, prospectuses (including prospectus supplements), registration statements and other information filed by Mylan with the SEC or furnished by Mylan to the SEC pursuant to the Securities Exchange Act, in each case, filed or furnished before the Closing Date and which are available to the Lenders before the Closing Date or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Term Loan and all other Obligations that are accrued and payable),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Company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Maturity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9.04(b)(iii), (v) and (vi) (subject to such consents, if any, as may be required under Section 9.04(b)(iii)).</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20" w:right="239" w:bottom="1440" w:gutter="0" w:footer="0" w:header="0"/>
        </w:sectPr>
      </w:pPr>
    </w:p>
    <w:bookmarkStart w:id="315" w:name="page316"/>
    <w:bookmarkEnd w:id="3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on the environment on health and safety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w:t>
      </w:r>
    </w:p>
    <w:p>
      <w:pPr>
        <w:jc w:val="both"/>
        <w:ind w:firstLine="8"/>
        <w:spacing w:after="0" w:line="255" w:lineRule="auto"/>
        <w:tabs>
          <w:tab w:leader="none" w:pos="2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or in reorganization, within the meaning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20" w:right="239" w:bottom="1440" w:gutter="0" w:footer="0" w:header="0"/>
        </w:sectPr>
      </w:pPr>
    </w:p>
    <w:bookmarkStart w:id="316" w:name="page317"/>
    <w:bookmarkEnd w:id="3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LIBO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Foreign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(d) UK withholding Taxes imposed on a payment by the UK Borrower (i) that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Governmental Authority or (ii) to a Lender that is a UK Treaty Lender, if the withholding Taxes have been imposed notwithstanding compliance by the UK Borrower with its obligations under Section 2.16(h)(vi) and (e) any U.S. federal withholding Taxes imposed pursuant to FATCA.</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the Credit Agreement, dated as of June 27, 2013, by and among Mylan, as borrower, the lenders party thereto and Bank of America as administrative agent, as amended to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at any time, (a) on or prior to the Closing Date, the aggregate Term Commitments at such time and (b) thereafter, the aggregate principal amount of the Loans of all Lenders outstanding at such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21" w:right="239" w:bottom="1440" w:gutter="0" w:footer="0" w:header="0"/>
        </w:sectPr>
      </w:pPr>
    </w:p>
    <w:bookmarkStart w:id="317" w:name="page318"/>
    <w:bookmarkEnd w:id="31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Jurisdiction Deposit</w:t>
      </w:r>
      <w:r>
        <w:rPr>
          <w:rFonts w:ascii="Times New Roman" w:cs="Times New Roman" w:eastAsia="Times New Roman" w:hAnsi="Times New Roman"/>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means a Loan Party that is organized under the laws of a jurisdiction other than the United States, a State thereof or the District of Columbia.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Foundation</w:t>
      </w:r>
      <w:r>
        <w:rPr>
          <w:rFonts w:ascii="Times New Roman" w:cs="Times New Roman" w:eastAsia="Times New Roman" w:hAnsi="Times New Roman"/>
          <w:sz w:val="18"/>
          <w:szCs w:val="18"/>
          <w:color w:val="auto"/>
        </w:rPr>
        <w:t>” means a Dutch law foundation, the articles of association of which will provide that the objects of such Dutch law foundation are to serve the best interests of New Mylan and the business conducted by New Mylan and its Subsidiaries as permitted by and in accordance with Dutch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21" w:right="239" w:bottom="1440" w:gutter="0" w:footer="0" w:header="0"/>
        </w:sectPr>
      </w:pPr>
    </w:p>
    <w:bookmarkStart w:id="318" w:name="page319"/>
    <w:bookmarkEnd w:id="31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Company in good faith.</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means the Guarantee set forth in Article X or other form of guarantee agreement reasonably acceptable to the Administrative Agent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each Affiliate or Subsidiary, if any, that provides a guarantee of the Obligations pursuant to Section 5.09 or otherwise.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 Revenue &amp; Customs</w:t>
      </w:r>
      <w:r>
        <w:rPr>
          <w:rFonts w:ascii="Times New Roman" w:cs="Times New Roman" w:eastAsia="Times New Roman" w:hAnsi="Times New Roman"/>
          <w:sz w:val="18"/>
          <w:szCs w:val="18"/>
          <w:color w:val="auto"/>
        </w:rPr>
        <w:t>” means Her Majesty’s Revenue &amp; Customs, the UK Tax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 (g) all Capital Lease Obligations of such Person, (h) all obligations, contingent or otherwise, of such Person as an account party in respect of letters of credit and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21" w:right="239" w:bottom="1440" w:gutter="0" w:footer="0" w:header="0"/>
        </w:sectPr>
      </w:pPr>
    </w:p>
    <w:bookmarkStart w:id="319" w:name="page320"/>
    <w:bookmarkEnd w:id="31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within 60 days thereafter and included as Indebtedness of such Person.</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an applicable Borrower to convert or continue a Borrowing in accordance with Section 2.03.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Base Rate Loan, the last day of each March, June, September and December, and (b) with respect to any Eurocurrency Loan, the last day of the Interest Period applicable thereto and, in the case of a Eurocurrency Loan with an Interest Period of more than three months’ duration, each day prior to the last day of such Interest Period that occurs at intervals of three months’ duration after the first day of such Interest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Eurocurrency Borrowing, the period commencing on the date of such Borrowing and ending on the numerically corresponding day in the calendar month that is one, two, three or six months thereafter (in each case, subject to availability), or such other period that is twelve months or less requested by the applicable Borrower and that is consented to by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21" w:right="239" w:bottom="1440" w:gutter="0" w:footer="0" w:header="0"/>
        </w:sectPr>
      </w:pPr>
    </w:p>
    <w:bookmarkStart w:id="320" w:name="page321"/>
    <w:bookmarkEnd w:id="320"/>
    <w:p>
      <w:pPr>
        <w:jc w:val="both"/>
        <w:spacing w:after="0" w:line="258" w:lineRule="auto"/>
        <w:rPr>
          <w:sz w:val="20"/>
          <w:szCs w:val="20"/>
          <w:color w:val="auto"/>
        </w:rPr>
      </w:pPr>
      <w:r>
        <w:rPr>
          <w:rFonts w:ascii="Times New Roman" w:cs="Times New Roman" w:eastAsia="Times New Roman" w:hAnsi="Times New Roman"/>
          <w:sz w:val="18"/>
          <w:szCs w:val="18"/>
          <w:color w:val="auto"/>
        </w:rPr>
        <w:t>Period shall end on the next preceding Business Day,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Company or any Subsidiary (an “</w:t>
      </w:r>
      <w:r>
        <w:rPr>
          <w:rFonts w:ascii="Times New Roman" w:cs="Times New Roman" w:eastAsia="Times New Roman" w:hAnsi="Times New Roman"/>
          <w:sz w:val="18"/>
          <w:szCs w:val="18"/>
          <w:u w:val="single" w:color="auto"/>
          <w:color w:val="auto"/>
        </w:rPr>
        <w:t>Initial Investing Person</w:t>
      </w:r>
      <w:r>
        <w:rPr>
          <w:rFonts w:ascii="Times New Roman" w:cs="Times New Roman" w:eastAsia="Times New Roman" w:hAnsi="Times New Roman"/>
          <w:sz w:val="18"/>
          <w:szCs w:val="18"/>
          <w:color w:val="auto"/>
        </w:rPr>
        <w:t>”) transfers an amount of cash or other Property (the “</w:t>
      </w:r>
      <w:r>
        <w:rPr>
          <w:rFonts w:ascii="Times New Roman" w:cs="Times New Roman" w:eastAsia="Times New Roman" w:hAnsi="Times New Roman"/>
          <w:sz w:val="18"/>
          <w:szCs w:val="18"/>
          <w:u w:val="single" w:color="auto"/>
          <w:color w:val="auto"/>
        </w:rPr>
        <w:t>Invested Amount</w:t>
      </w:r>
      <w:r>
        <w:rPr>
          <w:rFonts w:ascii="Times New Roman" w:cs="Times New Roman" w:eastAsia="Times New Roman" w:hAnsi="Times New Roman"/>
          <w:sz w:val="18"/>
          <w:szCs w:val="18"/>
          <w:color w:val="auto"/>
        </w:rPr>
        <w:t>”) for purposes of permitting the Company or one or more other Subsidiaries to ultimately make an Investment of the Invested Amount in the Company, any Subsidiary or any other Person (the Person in which such Investment is ultimately made,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through a series of substantially concurrent intermediate transfers of the Invested Amount to the Company or one or more other Subsidiaries other than the Subject Person (each an “</w:t>
      </w:r>
      <w:r>
        <w:rPr>
          <w:rFonts w:ascii="Times New Roman" w:cs="Times New Roman" w:eastAsia="Times New Roman" w:hAnsi="Times New Roman"/>
          <w:sz w:val="18"/>
          <w:szCs w:val="18"/>
          <w:u w:val="single" w:color="auto"/>
          <w:color w:val="auto"/>
        </w:rPr>
        <w:t>Intermediate Investing Person</w:t>
      </w:r>
      <w:r>
        <w:rPr>
          <w:rFonts w:ascii="Times New Roman" w:cs="Times New Roman" w:eastAsia="Times New Roman" w:hAnsi="Times New Roman"/>
          <w:sz w:val="18"/>
          <w:szCs w:val="18"/>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United Kingdom Income Tax Act 2007.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xml:space="preserve">” means, collectively, the Administrative Agent, the Lenders and each co-agent or sub-agent appointed by the Administrative Agent from time to time pursuant to clause (e)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21" w:right="239" w:bottom="1440" w:gutter="0" w:footer="0" w:header="0"/>
        </w:sectPr>
      </w:pPr>
    </w:p>
    <w:bookmarkStart w:id="321" w:name="page322"/>
    <w:bookmarkEnd w:id="3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5"/>
        <w:spacing w:after="0" w:line="256" w:lineRule="auto"/>
        <w:tabs>
          <w:tab w:leader="none" w:pos="17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Eurocurrency Borrowing, the rate per annum equal to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or a comparable or successor rate which rate is approved by the Administrative Agent and the Company (and if not so mutually agreed, the provisions of Section 2.13 shall apply),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and</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7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rate calculation with respect to a Base Rate Loan on any date, the rate per annum equal to LIBOR, at or about 11:00 a.m., London time determined two Business Days prior to such date for Dollar deposits with a term of one month commencing that day;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LIBOR shall be in no event be deemed to be an amount less than zero and (y) to the extent a comparable or successor rate is approved by the Administrative Agent and the Company in connection with any rate set forth in this definition, the approved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to the extent such market practice is not administratively feasible for the Administrative Agent, such approved rate shall be applied in a manner as otherwise reasonably determined by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has the meaning specified in the definition of LIBO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Guarantee Agreement, any promissory notes executed and delivered pursuant to Section 2.09(f) and any amendments, waivers, supplements or other modifications to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Borrowers and the Guarantors from time to time party hereto, if any. Upon consummation of the Specified Acquisition Transaction, New Mylan shall join this Agreement as a Designated Borrower, a Successor Borrower or a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Mylan pursuant to this Agreement comprising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21" w:right="239" w:bottom="1440" w:gutter="0" w:footer="0" w:header="0"/>
        </w:sectPr>
      </w:pPr>
    </w:p>
    <w:bookmarkStart w:id="322" w:name="page323"/>
    <w:bookmarkEnd w:id="3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property or financial condition of the Company and its Subsidiaries taken as a whole or (b) the validity or enforceability of this Agreement or any and all other Loan Documents, or the rights and remedies of the Administrative Agent and the Lenders thereunder.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of any one or more of the Loan Parties and their Subsidiaries in an aggregate principal amount exceeding $200,000,000.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Subsidiary (or group of Subsidiaries as to which a specified condition applies) that would be a “significant subsidiary” under Rule 1-02(w) of Regulation S-X.</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December 19, 2017;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Maturity Date shall be the Business Day immediately preceding such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means Moon of PA Inc., a Pennsylvania corporation, which, prior to the consummation of the Specified Acquisition Transaction, is a directly or indirectly wholly-owned subsidiary of New Mylan.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Mylan</w:t>
      </w:r>
      <w:r>
        <w:rPr>
          <w:rFonts w:ascii="Times New Roman" w:cs="Times New Roman" w:eastAsia="Times New Roman" w:hAnsi="Times New Roman"/>
          <w:sz w:val="18"/>
          <w:szCs w:val="18"/>
          <w:color w:val="auto"/>
        </w:rPr>
        <w:t>” means New Moon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organized under the laws of the Netherlands (and resident in the United Kingdom for UK tax purposes), and any successor entity (including a naamloze vennootschap met beperkte aansprakelijkheid) which, prior to the consummation of the Specified Acquisition Transaction, will be an indirect subsidiary of Mylan and, following the Specified Acquisition Transaction, will directly or indirectly hold Mylan as a Subsidiary.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each Borrower in favor of a Lender evidencing Loans made by such Lender to such Borrower,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other instruments at any time evidencing any thereof), in each case whether now existing or hereafter arising, whether all such obligations arise or accrue before or after the commencement of any bankruptcy, insolvency or receivership proceedings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21" w:right="2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color w:val="auto"/>
        </w:rPr>
        <w:t>whether or not such claims, interest, costs, expenses or fees are allowed or allowable in any such proceeding).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in Section 2.17(a).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(i) the Federal Funds Effective Rate and (ii) an overnight rate as reasonably determined by the Administrative Agent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xml:space="preserve">” means (a) any call option or capped call option (or substantively equivalent derivative transaction) on the Company’s common stock purchased by the Company in connection with an incurrence of Permitted Convertible Indebtedness, (b) the existing call options or capped call options (or substantively equivalent derivative transactions) purchased by Mylan (which may be transferred to New Mylan) in connection with the issuance of the Cash Convertible Notes and (c) any call option or capped call option (or substantively equivalent derivative transaction) replacing or refinancing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sum of (i) the purchase price for any Permitted Bond Hedge Transaction occurring after the Closing Date, </w:t>
      </w:r>
      <w:r>
        <w:rPr>
          <w:rFonts w:ascii="Times New Roman" w:cs="Times New Roman" w:eastAsia="Times New Roman" w:hAnsi="Times New Roman"/>
          <w:sz w:val="18"/>
          <w:szCs w:val="18"/>
          <w:u w:val="single" w:color="auto"/>
          <w:color w:val="auto"/>
        </w:rPr>
        <w:t>plus</w:t>
      </w:r>
    </w:p>
    <w:p>
      <w:pPr>
        <w:spacing w:after="0" w:line="3" w:lineRule="exact"/>
        <w:rPr>
          <w:sz w:val="20"/>
          <w:szCs w:val="20"/>
          <w:color w:val="auto"/>
        </w:rPr>
      </w:pPr>
    </w:p>
    <w:p>
      <w:pPr>
        <w:ind w:right="20" w:firstLine="8"/>
        <w:spacing w:after="0" w:line="261" w:lineRule="auto"/>
        <w:tabs>
          <w:tab w:leader="none" w:pos="29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for any Permitted Bond Hedge Transaction it is refinancing or replacing,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cash proceeds received upon the termination or the retirement of the Permitted Bond Hedge Transaction it is replacing or refinancing, if any,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21" w:right="239" w:bottom="1440" w:gutter="0" w:footer="0" w:header="0"/>
        </w:sectPr>
      </w:pPr>
    </w:p>
    <w:bookmarkStart w:id="324" w:name="page325"/>
    <w:bookmarkEnd w:id="324"/>
    <w:p>
      <w:pPr>
        <w:jc w:val="both"/>
        <w:ind w:firstLine="8"/>
        <w:spacing w:after="0" w:line="261" w:lineRule="auto"/>
        <w:tabs>
          <w:tab w:leader="none" w:pos="27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the cash proceeds from the sale of the related Permitted Warrant Transaction plus (ii) the cash proceeds from the sale of any Permitted Warrant Transaction refinancing or replacing such related Permitted Warrant Transaction,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means (a) Indebtedness of Mylan or New Mylan (which may be Guaranteed by the Guarantors) that is (1) convertible into common stock of the Company (and cash in lieu of fractional shares) and/or cash (in an amount determined by reference to the price of such common stock) or (2) sold as units with call options, warrants, rights or obligations to purchase (or substantially equivalent derivative transactions) that are exercisable for common stock of the Company and/or cash (in an amount determined by reference to the price of such common stock) and (b) the Cash Convertible Notes.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5"/>
        <w:spacing w:after="0" w:line="282" w:lineRule="auto"/>
        <w:tabs>
          <w:tab w:leader="none" w:pos="17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assessments or other governmental charges that are not overdue for a period of more than thirty (30) days or are being contested in compliance with Section 5.04;</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7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4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Company or any Subsidiary;</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1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17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judgments, decrees, attachments or awards that do not constitute an Event of Default under clause (k) of Article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8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Company or any Subsidiary;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21" w:right="239" w:bottom="1440" w:gutter="0" w:footer="0" w:header="0"/>
        </w:sectPr>
      </w:pPr>
    </w:p>
    <w:bookmarkStart w:id="325" w:name="page326"/>
    <w:bookmarkEnd w:id="325"/>
    <w:p>
      <w:pPr>
        <w:ind w:left="660" w:right="20" w:firstLine="645"/>
        <w:spacing w:after="0" w:line="282" w:lineRule="auto"/>
        <w:tabs>
          <w:tab w:leader="none" w:pos="173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sub-lease, license or sublicense entered into by the Company or any of its Subsidiaries as a part of its business and covering only the assets so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Jurisdiction</w:t>
      </w:r>
      <w:r>
        <w:rPr>
          <w:rFonts w:ascii="Times New Roman" w:cs="Times New Roman" w:eastAsia="Times New Roman" w:hAnsi="Times New Roman"/>
          <w:sz w:val="18"/>
          <w:szCs w:val="18"/>
          <w:color w:val="auto"/>
        </w:rPr>
        <w:t>” means each of the Netherlands, the United Kingdom and the United States and any other jurisdiction approved by the Administrative Agent and each Lender.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any receivables facility or facilities created under the Permitted Receivables Facility Documents from time to time, providing for the sale or pledge by the Company and/or one or more other Receivables Sellers of Permitted Receivables Facility Assets (thereby providing financing to the Company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Company and/or the respective Receivables Sellers, in each case as more fully set forth in the Permitted Receivables Facility Documents.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Assets</w:t>
      </w:r>
      <w:r>
        <w:rPr>
          <w:rFonts w:ascii="Times New Roman" w:cs="Times New Roman" w:eastAsia="Times New Roman" w:hAnsi="Times New Roman"/>
          <w:sz w:val="18"/>
          <w:szCs w:val="18"/>
          <w:color w:val="auto"/>
        </w:rPr>
        <w:t>” means (i) Receivables (whether now existing or arising in the future) of the Company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Company and its Subsidiaries secured by Receivables (whether now existing or arising in the future) of the Company and its Subsidiaries which are made pursuant to a Permitted Receivables Facility.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Documents</w:t>
      </w:r>
      <w:r>
        <w:rPr>
          <w:rFonts w:ascii="Times New Roman" w:cs="Times New Roman" w:eastAsia="Times New Roman" w:hAnsi="Times New Roman"/>
          <w:sz w:val="18"/>
          <w:szCs w:val="18"/>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Company) either (i) the terms as so amended, modified, supplemented, refinanced or replaced are reasonably customary for transactions of this type or (ii)(x) any such amendments, modifications, supplements, refinancings or replacements do not impose any conditions or requirements on the Company or any of its Subsidiaries that, taken as a whole, are more restrictive in any material respect than those in existence immediately prior to any such amendment, modification, supplement, refinancing or replacement as determined by the Company in good faith and (y) any such amendments,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21" w:right="2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color w:val="auto"/>
        </w:rPr>
        <w:t>supplements, refinancings or replacements are not adverse in any material respect to the interests of the Lenders as determined by the Company in good faith.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Related Assets</w:t>
      </w:r>
      <w:r>
        <w:rPr>
          <w:rFonts w:ascii="Times New Roman" w:cs="Times New Roman" w:eastAsia="Times New Roman" w:hAnsi="Times New Roman"/>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with respect to any Person, any amendment,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without limitation,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Company) as those contained in the documentation governing the Indebtedness being modified, refinanced, refunded, renewed, replaced or extended.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means (a) any call options, warrants or rights to purchase (or substantively equivalent derivative transactions) on common stock of the Company purchased by the Company substantially concurrently with a Permitted Bond Hedge Transaction and (b) the existing call options, warrants or rights to purchase (or substantively equivalent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21" w:right="2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color w:val="auto"/>
        </w:rPr>
        <w:t>derivative transactions) sold by the Company substantially concurrently with the issuance of the Cash Convertible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means, with respect to any acquisition, the period beginning on the date such acquisition is consummated and ending on the one-year anniversary of the date on which such acquisition is consummated.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Equity Interests of any Person, means Equity Interests of any class or classes (however 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Bank of America as its prime rate in effect at its principal office in New York City; each change in the Prime Rate shall be effective from and including the date such change is publicly announced as being effective.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Company, the pro forma increase or decrease in such Consolidated EBITDA, projected by the Company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Company and its Subsidiaries and, in each case, which are expected to have a continuing impact on the consolidated financial results of the Company, calculated assuming that such actions had been taken on, or such costs had been incurred since,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20" w:right="239" w:bottom="1440" w:gutter="0" w:footer="0" w:header="0"/>
        </w:sectPr>
      </w:pPr>
    </w:p>
    <w:bookmarkStart w:id="328" w:name="page329"/>
    <w:bookmarkEnd w:id="328"/>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Equity Interests in any Subsidiary of the Company owned by the Company or any of its Subsidiaries or any division, product line, or facility used for operations of the Company or any of its Subsidiaries, shall be excluded, and (ii) in the case of an acquisition or Investment described in the definition of “Specified Transaction,” shall be included, (b) any retirement of Indebtedness and (c) any Indebtedness incurred or assumed by the Company or any of the Subsidiaries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Company reasonably identifiable and factually supportable and (y) expected to have a continuing impact on the consolidated financial results of the Company and its Subsidiaries.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has the meaning assigned in Section 10.01.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Equity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in Section 5.01.</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means the acquisition by the Company or a Subsidiary of an Acquired Entity or Business which acquisition has been designated to the Lenders by a Responsible Officer of the Company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the Company other than Disqualified Equity Interests.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means a Lender which is beneficially entitled to interest payable to that Lender in respect of an advance under a Loan Document and is (i) a Lender (a) which is a bank (as defined for the purpose of section 879 of the ITA) making an advance under a Loan Document, or (b) in respect of an advance made under a Loan Document by a Person that was a bank (as so defined) at the time that the advance was made, and in each case, is within the charge to UK corporation tax as respects any payments of interest made in respect of that advance or would be within such charge as respects such payments apart from section 18A of the CTA or (ii) a UK Treaty Lender.</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Agencies</w:t>
      </w:r>
      <w:r>
        <w:rPr>
          <w:rFonts w:ascii="Times New Roman" w:cs="Times New Roman" w:eastAsia="Times New Roman" w:hAnsi="Times New Roman"/>
          <w:sz w:val="18"/>
          <w:szCs w:val="18"/>
          <w:color w:val="auto"/>
        </w:rPr>
        <w:t>” means Moody’s and S&amp;P or if Moody’s or S&amp;P or both shall not make a corporate family or corporate credit rating, as applicable, on Mylan or New Mylan publicly available, a nationally recognized statistical rating agency or agencies, as the case may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21" w:right="239" w:bottom="1440" w:gutter="0" w:footer="0" w:header="0"/>
        </w:sectPr>
      </w:pPr>
    </w:p>
    <w:bookmarkStart w:id="329" w:name="page330"/>
    <w:bookmarkEnd w:id="329"/>
    <w:p>
      <w:pPr>
        <w:jc w:val="both"/>
        <w:spacing w:after="0" w:line="282" w:lineRule="auto"/>
        <w:rPr>
          <w:sz w:val="20"/>
          <w:szCs w:val="20"/>
          <w:color w:val="auto"/>
        </w:rPr>
      </w:pPr>
      <w:r>
        <w:rPr>
          <w:rFonts w:ascii="Times New Roman" w:cs="Times New Roman" w:eastAsia="Times New Roman" w:hAnsi="Times New Roman"/>
          <w:sz w:val="18"/>
          <w:szCs w:val="18"/>
          <w:color w:val="auto"/>
        </w:rPr>
        <w:t>be, selected by the Company and reasonably satisfactory to the Administrative Agent which shall be substituted for Moody’s or S&amp;P or both, as the case may be.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and any Lender, as applicable.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means a wholly owned Subsidiary of the Company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Company certifying that, to the best of such officer’s knowledge and belief after consultation with counsel, such designation complied with the foregoing conditions.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Sellers</w:t>
      </w:r>
      <w:r>
        <w:rPr>
          <w:rFonts w:ascii="Times New Roman" w:cs="Times New Roman" w:eastAsia="Times New Roman" w:hAnsi="Times New Roman"/>
          <w:sz w:val="18"/>
          <w:szCs w:val="18"/>
          <w:color w:val="auto"/>
        </w:rPr>
        <w:t>” means the Company and those Subsidiaries (other than Receivables Entities) that are from time to time party to the Permitted Receivables Facility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 of 1933,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administrators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with Loans aggregating more than 50% of the aggregate principal amount of all Loans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Loans of any Defaulting Lender shall be excluded for purposes of making a determination of Required Lenders.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the chief executive officer, executive director, president, vice president, chief financial officer, treasurer, assistant treasurer or controller of the Company or another Loan Party, as context shall require, and (b) solely for purposes of notices given pursuant to Article II, any other officer or employee of the applicable Borrower so designated by any of the foregoing officers in a notice to the Administrative Agent or any other officer or employee of the applicable Borrower designated in or pursuant to an agreement between the applicable Borrower and the Administrative Agent. Any document delivered hereunder that is signed by a Responsible Officer of the Company or another Loan Party shall be conclusively presumed to have been authorized by all necessary corporate, partnership and/or other action on the part of the Company or such Loan Party and such Responsible Officer shall be conclusively presumed to have acted on behalf of the Company or such Loan Party.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means any dividend or other distribution (whether in cash, securities or other property (other than Qualified Equity Interests)) with respect to any Equity Interests in the Company, or any payment (whether in cash, securities or other property (other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21" w:right="239" w:bottom="1440" w:gutter="0" w:footer="0" w:header="0"/>
        </w:sectPr>
      </w:pPr>
    </w:p>
    <w:bookmarkStart w:id="330" w:name="page331"/>
    <w:bookmarkEnd w:id="330"/>
    <w:p>
      <w:pPr>
        <w:jc w:val="both"/>
        <w:spacing w:after="0" w:line="282" w:lineRule="auto"/>
        <w:rPr>
          <w:sz w:val="20"/>
          <w:szCs w:val="20"/>
          <w:color w:val="auto"/>
        </w:rPr>
      </w:pPr>
      <w:r>
        <w:rPr>
          <w:rFonts w:ascii="Times New Roman" w:cs="Times New Roman" w:eastAsia="Times New Roman" w:hAnsi="Times New Roman"/>
          <w:sz w:val="18"/>
          <w:szCs w:val="18"/>
          <w:color w:val="auto"/>
        </w:rPr>
        <w:t>than Qualified Equity Interests)),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Agreement</w:t>
      </w:r>
      <w:r>
        <w:rPr>
          <w:rFonts w:ascii="Times New Roman" w:cs="Times New Roman" w:eastAsia="Times New Roman" w:hAnsi="Times New Roman"/>
          <w:sz w:val="18"/>
          <w:szCs w:val="18"/>
          <w:color w:val="auto"/>
        </w:rPr>
        <w:t>” means that certain Revolving Credit Agreement dated as of the date hereof, among the Borrower, certain Affiliates and Subsidiaries of Mylan from time to time party thereto, each lender from time to time party thereto and Bank of America as administrative agent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Group, a division of McGraw-Hill Financial,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immediately available funds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any successor thereto and any analogous Governmental Authority succeeding to any of its principal functions.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has the meaning assigned in Section 2.20.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Transaction</w:t>
      </w:r>
      <w:r>
        <w:rPr>
          <w:rFonts w:ascii="Times New Roman" w:cs="Times New Roman" w:eastAsia="Times New Roman" w:hAnsi="Times New Roman"/>
          <w:sz w:val="18"/>
          <w:szCs w:val="18"/>
          <w:color w:val="auto"/>
        </w:rPr>
        <w:t>” means, the proposed acquisition by Mylan of certain of the assets of Abbott Labs pursuant to the Transaction Agreement and the consummation of each merger and inversion transactions contemplated therein, in accordance with the Transaction Agreement and applicable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Test Period, any of the following events occurring after the first day of such Test Period and prior to the applicable date of determination: (i) any Investment by the Company or any Subsidiary in any Person (including in connection with the Specified Acquisition Transaction or any other acquisition) other than a Person that was a wholly-owned Subsidiary on the first day of such period involving consideration paid by the Company or such Subsidiary in excess of $10,000,000, (ii) any disposition outside the ordinary course of business of assets by the Company or any Subsidiary with a fair market value in excess of $10,000,000, (iii) any incurrence or repayment of Indebtedness (in each case, other than borrowings and repayments of Indebtedness in the ordinary course of business under revolving credit facilities except to the extent there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21" w:right="239" w:bottom="1440" w:gutter="0" w:footer="0" w:header="0"/>
        </w:sectPr>
      </w:pPr>
    </w:p>
    <w:bookmarkStart w:id="331" w:name="page332"/>
    <w:bookmarkEnd w:id="331"/>
    <w:p>
      <w:pPr>
        <w:jc w:val="both"/>
        <w:spacing w:after="0" w:line="282" w:lineRule="auto"/>
        <w:rPr>
          <w:sz w:val="20"/>
          <w:szCs w:val="20"/>
          <w:color w:val="auto"/>
        </w:rPr>
      </w:pPr>
      <w:r>
        <w:rPr>
          <w:rFonts w:ascii="Times New Roman" w:cs="Times New Roman" w:eastAsia="Times New Roman" w:hAnsi="Times New Roman"/>
          <w:sz w:val="18"/>
          <w:szCs w:val="18"/>
          <w:color w:val="auto"/>
        </w:rPr>
        <w:t>reduction in the related revolving credit commitment) and (iv) any Restricted Payment involving consideration paid by the Company or any Subsidiary in excess of $10,000,000.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specified in Section 2.23.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the period of four fiscal quarters of the Company ending on a specified date.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with respect to each Lender, the commitment, if any, of such Lender on or prior to the Closing Date to make the Term Loan to Mylan hereunder in an aggregate principal amount equal to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as such commitment may be reduced or increased from time to time pursuant to assignments by or to such Lender pursuant to Section 9.04 of this Agreement. The initial amount of each Lender’s Term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to which such Lender becomes a party hereto, as applicable. The aggregate amount of the Lenders’ Term Commitments on the Closing Date is $800,000,000.</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xml:space="preserve"> means the Amended and Restated Business Transfer Agreement and Plan of Merger, dated as of November 4, 2014, among Abbott Labs, Mylan, New Mylan and Merger Sub.</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21" w:right="239" w:bottom="1440" w:gutter="0" w:footer="0" w:header="0"/>
        </w:sectPr>
      </w:pPr>
    </w:p>
    <w:bookmarkStart w:id="332" w:name="page333"/>
    <w:bookmarkEnd w:id="3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the Term Loan hereunder and the use of the proceeds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Eurocurrency or the Base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each mean the United Kingdom of Great Britain and Northern Ireland.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w:t>
      </w:r>
      <w:r>
        <w:rPr>
          <w:rFonts w:ascii="Times New Roman" w:cs="Times New Roman" w:eastAsia="Times New Roman" w:hAnsi="Times New Roman"/>
          <w:sz w:val="18"/>
          <w:szCs w:val="18"/>
          <w:color w:val="auto"/>
        </w:rPr>
        <w:t>” means New Mylan.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 DTTP Filing</w:t>
      </w:r>
      <w:r>
        <w:rPr>
          <w:rFonts w:ascii="Times New Roman" w:cs="Times New Roman" w:eastAsia="Times New Roman" w:hAnsi="Times New Roman"/>
          <w:sz w:val="18"/>
          <w:szCs w:val="18"/>
          <w:color w:val="auto"/>
        </w:rPr>
        <w:t>” means an HM Revenue &amp; Customs' Form DTTP2 duly completed and filed by the UK Borrower within the applicable time limit, which contains the scheme reference number and jurisdiction of Tax residence provided by a Lender either (a) in Schedule 2.01 or (b) if the Lender is not a party to this Agreement at the time that this Agreement is entered into, in the relevant Assignment and Assumption.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means a double taxation agreement one of the parties to which is the United Kingdom and which makes provision for full exemption from Taxes imposed by the UK on interest.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Lender which (a) is treated as a resident of a UK Treaty State for the purposes of the relevant UK Treaty, (b) does not carry on a business in the United Kingdom through a permanent establishment with which that Lender’s participation in the Loan is effectively connected, and (c) meets all other conditions that need to be satisfied by that Lender in the relevant UK Treaty for full exemption from Taxes imposed by the UK on interest, assuming satisfaction of (i) any necessary procedural formalities and (ii) any condition which relates (expressly or by implication) to there not being a special relationship between the Borrower making the applicable payment and a Lender or between either of them and another person, or to the amounts or terms of any Loan.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Passport Scheme</w:t>
      </w:r>
      <w:r>
        <w:rPr>
          <w:rFonts w:ascii="Times New Roman" w:cs="Times New Roman" w:eastAsia="Times New Roman" w:hAnsi="Times New Roman"/>
          <w:sz w:val="18"/>
          <w:szCs w:val="18"/>
          <w:color w:val="auto"/>
        </w:rPr>
        <w:t>” means the HM Revenue &amp; Customs double taxation treaty passport scheme.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means a jurisdiction, other than the United Kingdom, which is party to a UK Treaty.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set forth in Section 2.16(e).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(a) any Tax imposed in compliance with the Council Directive of 28 November 2006 on the common system of value added tax (EC Directive 2006/112) and (b) any other Tax of a similar nature, whether imposed in a member state of the European Union in substitution for (or in addition to) a Tax referred to in clause (a) above, or imposed elsewhere.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20" w:right="239" w:bottom="1440" w:gutter="0" w:footer="0" w:header="0"/>
        </w:sectPr>
      </w:pPr>
    </w:p>
    <w:bookmarkStart w:id="333" w:name="page334"/>
    <w:bookmarkEnd w:id="3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and Borrowings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“Eurocurrency Loan”).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9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1" w:lineRule="auto"/>
        <w:tabs>
          <w:tab w:leader="none" w:pos="173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Company notifies the Administrative Agent that the Company requests an amendment to any provision hereof to eliminate the effect of any change occurring after the Closing Date in GAAP or in the application thereof on the operation of such provision (or if the Administrative Agent notifies the Company that the Required Lenders request an amendment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21" w:right="239" w:bottom="1440" w:gutter="0" w:footer="0" w:header="0"/>
        </w:sectPr>
      </w:pPr>
    </w:p>
    <w:bookmarkStart w:id="334" w:name="page335"/>
    <w:bookmarkEnd w:id="334"/>
    <w:p>
      <w:pPr>
        <w:jc w:val="both"/>
        <w:spacing w:after="0" w:line="256" w:lineRule="auto"/>
        <w:rPr>
          <w:sz w:val="20"/>
          <w:szCs w:val="20"/>
          <w:color w:val="auto"/>
        </w:rPr>
      </w:pPr>
      <w:r>
        <w:rPr>
          <w:rFonts w:ascii="Times New Roman" w:cs="Times New Roman" w:eastAsia="Times New Roman" w:hAnsi="Times New Roman"/>
          <w:sz w:val="18"/>
          <w:szCs w:val="18"/>
          <w:color w:val="auto"/>
        </w:rPr>
        <w:t>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8" w:lineRule="exact"/>
        <w:rPr>
          <w:sz w:val="20"/>
          <w:szCs w:val="20"/>
          <w:color w:val="auto"/>
        </w:rPr>
      </w:pPr>
    </w:p>
    <w:p>
      <w:pPr>
        <w:jc w:val="both"/>
        <w:ind w:firstLine="1305"/>
        <w:spacing w:after="0" w:line="266" w:lineRule="auto"/>
        <w:tabs>
          <w:tab w:leader="none" w:pos="170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Where any provision of this Agreement requires, as a condition to the permissibility of an action to be taken by any Loan Party or any of its Subsidiaries at any time prior to December 31, 2014, compliance on a Pro Forma Basis with Section 6.07, such provision shall mean that on a Pro Forma Basis, and after giving effect to such action, the Consolidated Leverage Ratio shall be no greater than the maximum level specified for December 31, 2014.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Company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21" w:right="239" w:bottom="1440" w:gutter="0" w:footer="0" w:header="0"/>
        </w:sectPr>
      </w:pPr>
    </w:p>
    <w:bookmarkStart w:id="335" w:name="page336"/>
    <w:bookmarkEnd w:id="3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rates in the definition of “LIBO Rate” or with respect to any comparable or successor rate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liability arising out of the bad faith, willful misconduct or negligence of the Administrative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Term Commitments</w:t>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Lender severally agrees to make a single loan to Mylan on the Closing Date in Dollars in an amount not to exceed such Lender’s Term Commitment (collectively,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The borrowing on the Closing Date shall consist of Loans made simultaneously by the Lenders in accordance with their respective Term Commitments. Amounts borrowed under this Section 2.01 and repaid or prepaid may not be reborrowed. The Loans may, from time to time, be Base Rate Loans, Eurocurrency Loans, or a combination thereof, as further provided herein.</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8"/>
          <w:szCs w:val="18"/>
          <w:u w:val="single" w:color="auto"/>
          <w:color w:val="auto"/>
        </w:rPr>
        <w:t>Loan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7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initial funding of the Term Loan shall be made as part of a Borrowing consisting of Loans funded by the Lenders ratably in accordance with their respective Term Commitments. The failure of any Lender to make the portion of the Term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Commitments of the Lenders are several and no Lender shall be responsible for any other Lender’s failure to fund the Term Loan as required.</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2.13, each Borrowing shall be comprised entirely of Base Rate Loans or Eurocurrency Loans as the applicable Borrower may request in accordance herewith. Each Lender at its option may make any Eurocurrency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8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0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of, conversion to or continuation of Eurocurrency Loans shall be in an aggregate amount that is an integral multiple of the Borrowing Multiple (or, if not an integral multiple, the entire available amount) and not less than the Borrowing Minimum. Each Borrowing of, conversion to or continuation of Base Rate Loans shall be in an aggregate amount that is an integral multiple of $1,000,000 and not less than $1,000,000.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twenty (20) Eurocurrency Borrowings outstanding.</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68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if the Interest Period requested would end after the Maturity Date.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21" w:right="239" w:bottom="1440" w:gutter="0" w:footer="0" w:header="0"/>
        </w:sectPr>
      </w:pPr>
    </w:p>
    <w:bookmarkStart w:id="336" w:name="page337"/>
    <w:bookmarkEnd w:id="33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of the Term Loan on the Closing Date, a conversion of Loans from one Type to the other or a continuation of Eurocurrency Loans, the applicable Borrower shall irrevocably notify the Administrative Agent of such request by (A) telephone or (B) a written Borrowing Request in a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Business Days prior to the requested date of the borrowing of Eurocurrency Loans, or any conversion to or continuation of Eurocurrency Loans or of any conversion of Eurocurrency Loans to Base Rate Loans, and (ii) on the requested date of the borrowing of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Borrower wishes to request Eurocurrency Loans having an Interest Period other than one, two, three or six months in duration as provided in the definition of “Interest Period,” the applicable notice must be received by the Administrative Agent not later than noon four Business Days prior to the requested date of such borrowing of Eurocurrency Loans, conversion or continuation of Eurocurrency Loans, whereupon the Administrative Agent shall give prompt notice to the applicable Lenders of such request and determine whether the requested Interest Period is acceptable to all of them. Not later than 11:00 a.m., three Business Days before the requested date of such borrowing of Eurocurrency Loans, conversion or continuation of Eurocurrency Loans, the Administrative Agent shall notify the applicable Borrower (which notice may be by telephone) whether or not the requested Interest Period has been consented to by all the applicable Lenders. Each Borrowing Request shall specify the following information in compliance with Section 2.02:</w:t>
      </w:r>
    </w:p>
    <w:p>
      <w:pPr>
        <w:spacing w:after="0" w:line="196" w:lineRule="exact"/>
        <w:rPr>
          <w:sz w:val="20"/>
          <w:szCs w:val="20"/>
          <w:color w:val="auto"/>
        </w:rPr>
      </w:pPr>
    </w:p>
    <w:p>
      <w:pPr>
        <w:ind w:left="2300" w:hanging="347"/>
        <w:spacing w:after="0"/>
        <w:tabs>
          <w:tab w:leader="none" w:pos="2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on behalf of whom the Borrowing Request is being submitted;</w:t>
      </w:r>
    </w:p>
    <w:p>
      <w:pPr>
        <w:spacing w:after="0" w:line="225"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conversion or continuation;</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conversion or continuation, which shall be a Business Day;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conversion or continuation is to be a Base Rate Borrowing or a Eurocurrency Borrowing;</w:t>
      </w:r>
    </w:p>
    <w:p>
      <w:pPr>
        <w:spacing w:after="0" w:line="225" w:lineRule="exact"/>
        <w:rPr>
          <w:rFonts w:ascii="Times New Roman" w:cs="Times New Roman" w:eastAsia="Times New Roman" w:hAnsi="Times New Roman"/>
          <w:sz w:val="18"/>
          <w:szCs w:val="18"/>
          <w:color w:val="auto"/>
        </w:rPr>
      </w:pPr>
    </w:p>
    <w:p>
      <w:pPr>
        <w:ind w:right="20" w:firstLine="1953"/>
        <w:spacing w:after="0" w:line="282" w:lineRule="auto"/>
        <w:tabs>
          <w:tab w:leader="none" w:pos="233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Eurocurrency Borrowing, the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auto"/>
        </w:rPr>
      </w:pPr>
    </w:p>
    <w:p>
      <w:pPr>
        <w:ind w:firstLine="1953"/>
        <w:spacing w:after="0" w:line="282" w:lineRule="auto"/>
        <w:tabs>
          <w:tab w:leader="none" w:pos="248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initial borrowing of the Term Loan on the Closing Date, the location and number of the applicable Borrower’s account to which funds are to be disbursed, which shall comply with the requirements of Section 2.06;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37" w:name="page338"/>
    <w:bookmarkEnd w:id="337"/>
    <w:p>
      <w:pPr>
        <w:ind w:firstLine="1953"/>
        <w:spacing w:after="0" w:line="282" w:lineRule="auto"/>
        <w:tabs>
          <w:tab w:leader="none" w:pos="244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applicable Borrower is requesting the initial borrowing of the Term Loan, a conversion of Loans from one Type to the other, or a continuation of Eurocurrency Loans; and</w:t>
      </w:r>
    </w:p>
    <w:p>
      <w:pPr>
        <w:spacing w:after="0" w:line="161" w:lineRule="exact"/>
        <w:rPr>
          <w:rFonts w:ascii="Times New Roman" w:cs="Times New Roman" w:eastAsia="Times New Roman" w:hAnsi="Times New Roman"/>
          <w:sz w:val="18"/>
          <w:szCs w:val="18"/>
          <w:color w:val="auto"/>
        </w:rPr>
      </w:pPr>
    </w:p>
    <w:p>
      <w:pPr>
        <w:ind w:firstLine="1953"/>
        <w:spacing w:after="0" w:line="282" w:lineRule="auto"/>
        <w:tabs>
          <w:tab w:leader="none" w:pos="251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Loans to be borrowed (in the case of the initial borrowing of the Term Loan on the Closing Date) or to which existing Loans are to be converted.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Base Rate Borrowing. In the case of a failure to timely request a conversion or continuation of Eurocurrency Loans, such Loans shall be continued as Eurocurrency Loans with an Interest Period of one month’s duration. If no Interest Period is specified with respect to any requested Eurocurrency Borrowing or conversion or continuation of Eurocurrency Loans, then the applicable Borrower shall be deemed to have selected an Interest Period of one month’s duration. Any automatic conversion to Base Rate Loans shall be effective as of the last day of the Interest Period then in effect with respect to the applicable Eurocurrency Loans. Promptly following receipt of a Borrowing Request in accordance with this Section, the Administrative Agent shall advise each Lender of the details thereof and of the amount of such Lender’s Loan to be made as part of the requested Borrowing. Except as otherwise provided herein, a Eurocurrency Loan may be continued or converted only on the last day of an Interest Period for such Eurocurrency Loan. During the existence of a Default, no Loans may be converted to or continued as Eurocurrency Loans without the consent of the Required Lenders.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69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the portion of the Term Loan to be made by it hereunder on the Closing Date by wire transfer of immediately available funds by 2:00 p.m., New York City time, to the account of the Administrative Agent designated by it for such purpose by notice to the Lenders in an amount equal to such Lender’s Applicable Percentage or other percentage provided for herein. The Administrative Agent will make the Term Loan available to Mylan on the Closing Date by promptly crediting the amounts so received, in like funds, to an account designated by Mylan.</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68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time of the borrowing in paragraph (a) of this Section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Mylan a corresponding amount. In such event, if a Lender has not in fact made its share of the borrowing on the Closing Date available to the Administrative Agent, then the applicable Lender and Mylan severally agrees to pay to the Administrative Agent forthwith on demand such corresponding amount with interest thereon, for each day from and including the date such amount is made available to Mylan to but excluding the date of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38" w:name="page339"/>
    <w:bookmarkEnd w:id="338"/>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Agent, at (i) in the case of such Lender, the Overnight Rate plus any administrative, processing or similar fees customarily charged by the Administrative Agent in connection with the foregoing or (ii) in the case of Mylan, the interest rate applicable to Base Rate Loans. If such Lender pays such amount to the Administrative Agent, then such amount shall constitute such Lender’s Loan included in such Borrowing.</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Reduction of Commitments</w:t>
      </w:r>
      <w:r>
        <w:rPr>
          <w:rFonts w:ascii="Times New Roman" w:cs="Times New Roman" w:eastAsia="Times New Roman" w:hAnsi="Times New Roman"/>
          <w:sz w:val="18"/>
          <w:szCs w:val="18"/>
          <w:color w:val="auto"/>
        </w:rPr>
        <w:t>. The aggregate Term Commitments shall be automatically, permanently and irrevocably reduced to zero at 5:00 p.m., New York City time, on the Closing Date, such that no additional Term Loan or other extension of credit in respect thereof will be made after the Closing Date.</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6" w:lineRule="auto"/>
        <w:tabs>
          <w:tab w:leader="none" w:pos="169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hereby unconditionally promise to pay in Dollars to the Administrative Agent for the account of each Lender the then unpaid principal amount of each Loan of such Lender on the Maturity Date (or such earlier date on which the Loans become due and payable pursuant to Article VII) and in any event such payment shall be in an amount equal to the aggregate principal amount of all Loans outstanding on such date.</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4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and Type thereof and the Interest Period, if any,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6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each Borrower to repay the Loans in accordance with the terms of this Agreement.</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7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promissory notes. In such event, the Borrowers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39" w:name="page340"/>
    <w:bookmarkEnd w:id="339"/>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Optional 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6" w:lineRule="auto"/>
        <w:tabs>
          <w:tab w:leader="none" w:pos="167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176" w:lineRule="exact"/>
        <w:rPr>
          <w:rFonts w:ascii="Times New Roman" w:cs="Times New Roman" w:eastAsia="Times New Roman" w:hAnsi="Times New Roman"/>
          <w:sz w:val="18"/>
          <w:szCs w:val="18"/>
          <w:color w:val="auto"/>
        </w:rPr>
      </w:pPr>
    </w:p>
    <w:p>
      <w:pPr>
        <w:jc w:val="both"/>
        <w:ind w:firstLine="1305"/>
        <w:spacing w:after="0" w:line="253" w:lineRule="auto"/>
        <w:tabs>
          <w:tab w:leader="none" w:pos="192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notify the Administrative Agent by telephone (confirmed by telecopy or transmission by electronic communication in accordance with Section 9.01(b)) of any prepayment hereunder (i) in the case of prepayment of a Eurocurrency Borrowing, not later than 2:00 p.m., New York City time, three (3) Business Days before the date of prepayment and (ii) in the case of prepayment of a Base Rate Borrowing, not later than noon,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of the then outstanding principal amount of the Loans delivered by the Company may state that such notice is conditioned upon the effectiveness of other credit facilities or instruments of Indebtedness or the occurrence of any other specified event, in which case such notice may be revoked by the Company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(x) any Eurocurrency Borrowing shall be in an aggregate amount that is an integral multiple of the Borrowing Multiple and not less than the Borrowing Minimum and (y) any Base Rate Borrowing shall be in an aggregate amount that is an integral multiple of $1,000,000 and not less than $1,000,000. Each prepayment of a Borrowing shall be applied ratably to the Loans included in the notice of prepayment. Prepayments pursuant to this Section 2.10 shall be accompanied by accrued interest to the extent required by Section 2.12 and shall be subject to Section 2.15.</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Borrowers, collectively, agree to pay to the Administrative Agent, for its own account, fees payable in the amounts and at the times separately agreed upon between any Borrower and the Administrative Agent. Fees paid shall not be refundable under any circumstances.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20" w:hanging="415"/>
        <w:spacing w:after="0"/>
        <w:tabs>
          <w:tab w:leader="none" w:pos="172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Base Rate Borrowing shall bear interest at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firstLine="1305"/>
        <w:spacing w:after="0" w:line="282" w:lineRule="auto"/>
        <w:tabs>
          <w:tab w:leader="none" w:pos="175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Eurocurrency Borrowing shall bear interest at the LIBO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any time (x) an Event of Default has occurred and is continuing under clauses (h) or (i) of Article VII or (y) if any principal of or interest on the Term Loan or any fee or other amount payable by the Borrowers hereunder is not paid when due, whether at stated maturity, upon acceleration or otherwise, then such overdue amount shall bear interest, after as well as before judgment, at a rate per annum equal to (i) in the case of overdue principal of the Term Loan,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1" w:right="239" w:bottom="1440" w:gutter="0" w:footer="0" w:header="0"/>
        </w:sectPr>
      </w:pPr>
    </w:p>
    <w:bookmarkStart w:id="340" w:name="page341"/>
    <w:bookmarkEnd w:id="340"/>
    <w:p>
      <w:pPr>
        <w:spacing w:after="0" w:line="282" w:lineRule="auto"/>
        <w:rPr>
          <w:sz w:val="20"/>
          <w:szCs w:val="20"/>
          <w:color w:val="auto"/>
        </w:rPr>
      </w:pPr>
      <w:r>
        <w:rPr>
          <w:rFonts w:ascii="Times New Roman" w:cs="Times New Roman" w:eastAsia="Times New Roman" w:hAnsi="Times New Roman"/>
          <w:sz w:val="18"/>
          <w:szCs w:val="18"/>
          <w:color w:val="auto"/>
        </w:rPr>
        <w:t>Loan as provided in the preceding paragraphs of this Section or (ii) in the case of any other amount, upon the request of the Required Lenders, 2% plus the rate applicable to Base Rate Loans as provided in paragraph (a) of this Section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5"/>
        <w:spacing w:after="0" w:line="258" w:lineRule="auto"/>
        <w:tabs>
          <w:tab w:leader="none" w:pos="1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on the Maturity Date (or such earlier date on which the Loans become due and payable pursuant to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the Loans,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6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Base Rate shall be computed on the basis of a year of 365 days (or 366 days in a leap year) and, in each case, shall be payable for the actual number of days elapsed (including the first day but excluding the last day). The applicable Base Rate or LIBO Rate shall be determined by the Administrative Agent in accordance with the provisions of this Agreement, and such determination shall be conclusive absent manifest error.</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u w:val="single" w:color="auto"/>
          <w:color w:val="auto"/>
        </w:rPr>
        <w:t>Alternate Rate of Interest</w:t>
      </w:r>
      <w:r>
        <w:rPr>
          <w:rFonts w:ascii="Times New Roman" w:cs="Times New Roman" w:eastAsia="Times New Roman" w:hAnsi="Times New Roman"/>
          <w:sz w:val="17"/>
          <w:szCs w:val="17"/>
          <w:color w:val="auto"/>
        </w:rPr>
        <w:t>. If prior to the commencement of any Interest Period for a Eurocurrency Borrowing:</w:t>
      </w:r>
    </w:p>
    <w:p>
      <w:pPr>
        <w:spacing w:after="0" w:line="225" w:lineRule="exact"/>
        <w:rPr>
          <w:sz w:val="20"/>
          <w:szCs w:val="20"/>
          <w:color w:val="auto"/>
        </w:rPr>
      </w:pPr>
    </w:p>
    <w:p>
      <w:pPr>
        <w:ind w:firstLine="1305"/>
        <w:spacing w:after="0" w:line="282" w:lineRule="auto"/>
        <w:tabs>
          <w:tab w:leader="none" w:pos="174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LIBO Rate for such Interest Period (in each case with respect to clause (a), the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8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LIBO Rate for such Interest Period will not adequately and fairly reflect the cost to such Lenders of making or maintaining their Loans included in such Borrowing for such Interest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the Administrative Agent shall give notice thereof to the Company and the Lenders by telephone or telecopy or transmission by electronic communication in accordance with Section 9.01 as promptly as practicable thereafter and, until the Administrative Agent notifies the Company and the Lenders that the circumstances giving rise to such notice no longer exist, any Interest Election Request that requests the conversion of any Borrowing to, or continuation of any Borrowing as, a Eurocurrency Borrowing shall be ineffective and such Borrowing shall be converted to or continued on the last day of the Interest Period applicable thereto as a Base Rate Borrowing.</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Administrative Agent has made the determination described in this section, the Administrative Agent, in consultation with the Borrowers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41" w:name="page342"/>
    <w:bookmarkEnd w:id="341"/>
    <w:p>
      <w:pPr>
        <w:jc w:val="both"/>
        <w:spacing w:after="0" w:line="255" w:lineRule="auto"/>
        <w:rPr>
          <w:sz w:val="20"/>
          <w:szCs w:val="20"/>
          <w:color w:val="auto"/>
        </w:rPr>
      </w:pPr>
      <w:r>
        <w:rPr>
          <w:rFonts w:ascii="Times New Roman" w:cs="Times New Roman" w:eastAsia="Times New Roman" w:hAnsi="Times New Roman"/>
          <w:sz w:val="18"/>
          <w:szCs w:val="18"/>
          <w:color w:val="auto"/>
        </w:rPr>
        <w:t>clause (a) of the first sentence of this section, (2) the Administrative Agent or the Required Lenders notify the Administrative Agent and the Borrowers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Borrowers written notice thereof. Upon the Administrative Agent’s election to establish an alternative rate of interest pursuant to this paragraph, the Company may revoke any pending request for a conversion to or continuation of Eurocurrency Loans without payment of any amount specified in Section 2.15, provided that such repayment is effected promptly upon receipt of such notice.</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u w:val="single" w:color="auto"/>
          <w:color w:val="auto"/>
        </w:rPr>
        <w:t>Increased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80" w:hanging="375"/>
        <w:spacing w:after="0"/>
        <w:tabs>
          <w:tab w:leader="none" w:pos="16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firstLine="1953"/>
        <w:spacing w:after="0" w:line="282" w:lineRule="auto"/>
        <w:tabs>
          <w:tab w:leader="none" w:pos="232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w:t>
      </w:r>
    </w:p>
    <w:p>
      <w:pPr>
        <w:spacing w:after="0" w:line="161" w:lineRule="exact"/>
        <w:rPr>
          <w:rFonts w:ascii="Times New Roman" w:cs="Times New Roman" w:eastAsia="Times New Roman" w:hAnsi="Times New Roman"/>
          <w:sz w:val="18"/>
          <w:szCs w:val="18"/>
          <w:color w:val="auto"/>
        </w:rPr>
      </w:pPr>
    </w:p>
    <w:p>
      <w:pPr>
        <w:jc w:val="both"/>
        <w:ind w:right="20" w:firstLine="1953"/>
        <w:spacing w:after="0" w:line="266" w:lineRule="auto"/>
        <w:tabs>
          <w:tab w:leader="none" w:pos="237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London interbank market any other condition affecting this Agreement or Eurocurrency Loans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such Lender;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Eurocurrency Loan or of maintaining its obligation to make any such Loan or to reduce the amount of any sum received or receivable by such Lender hereunder, whether of principal, interest or otherwise, in each case by an amount deemed by such Lender to be material in the context of its making of, and participation in, extensions of credit under this Agreement, then, upon the request of such Lender, the Borrowers will pay to such Lender, such additional amount or amounts as will compensate such Lender, for such additional costs incurred or reduction suffered.</w:t>
      </w:r>
    </w:p>
    <w:p>
      <w:pPr>
        <w:spacing w:after="0" w:line="184" w:lineRule="exact"/>
        <w:rPr>
          <w:sz w:val="20"/>
          <w:szCs w:val="20"/>
          <w:color w:val="auto"/>
        </w:rPr>
      </w:pPr>
    </w:p>
    <w:p>
      <w:pPr>
        <w:jc w:val="both"/>
        <w:ind w:firstLine="1305"/>
        <w:spacing w:after="0" w:line="258" w:lineRule="auto"/>
        <w:tabs>
          <w:tab w:leader="none" w:pos="168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upon the request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342" w:name="page343"/>
    <w:bookmarkEnd w:id="342"/>
    <w:p>
      <w:pPr>
        <w:spacing w:after="0" w:line="282" w:lineRule="auto"/>
        <w:rPr>
          <w:sz w:val="20"/>
          <w:szCs w:val="20"/>
          <w:color w:val="auto"/>
        </w:rPr>
      </w:pPr>
      <w:r>
        <w:rPr>
          <w:rFonts w:ascii="Times New Roman" w:cs="Times New Roman" w:eastAsia="Times New Roman" w:hAnsi="Times New Roman"/>
          <w:sz w:val="18"/>
          <w:szCs w:val="18"/>
          <w:color w:val="auto"/>
        </w:rPr>
        <w:t>Lender, the Borrowers will pay to such Lender, such additional amount or amounts as will compensate such Lender or such Lender’s holding company for any such reduction suffered.</w:t>
      </w:r>
    </w:p>
    <w:p>
      <w:pPr>
        <w:spacing w:after="0" w:line="162" w:lineRule="exact"/>
        <w:rPr>
          <w:sz w:val="20"/>
          <w:szCs w:val="20"/>
          <w:color w:val="auto"/>
        </w:rPr>
      </w:pPr>
    </w:p>
    <w:p>
      <w:pPr>
        <w:jc w:val="both"/>
        <w:ind w:firstLine="1305"/>
        <w:spacing w:after="0" w:line="261" w:lineRule="auto"/>
        <w:tabs>
          <w:tab w:leader="none" w:pos="169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in reasonable detail the amount or amounts necessary to compensate such Lender or its holding company, as the case may be, as specified in paragraph (a) or (b) of this Section shall be delivered to the Company and shall be conclusive absent manifest error. The Borrowers shall pay such Lender the amount shown as due on any such certificate within ten (10) days (or such later date as may be agreed by the applicable Lender) after receipt thereof.</w:t>
      </w:r>
    </w:p>
    <w:p>
      <w:pPr>
        <w:spacing w:after="0" w:line="180"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pursuant to this Section for any increased costs or reductions incurred more than 135 days prior to the date that such Lender notifies the Company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83" w:lineRule="exact"/>
        <w:rPr>
          <w:rFonts w:ascii="Times New Roman" w:cs="Times New Roman" w:eastAsia="Times New Roman" w:hAnsi="Times New Roman"/>
          <w:sz w:val="18"/>
          <w:szCs w:val="18"/>
          <w:color w:val="auto"/>
        </w:rPr>
      </w:pPr>
    </w:p>
    <w:p>
      <w:pPr>
        <w:ind w:right="20" w:firstLine="1305"/>
        <w:spacing w:after="0" w:line="282" w:lineRule="auto"/>
        <w:tabs>
          <w:tab w:leader="none" w:pos="171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claim for additional amounts pursuant to this Section 2.14 shall be generally consistent with such Lender’s treatment of customers of such Lender that such Lender considers, in its reasonable discretion, to be similarly situated as the Company.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Eurocurrency Loan other than on the last day of an Interest Period applicable thereto (including as a result of an Event of Default or as a result of any prepayment pursuant to Section 2.10),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2.10 and is revoked in accordance therewith) or (d) the assignment of any Eurocurrency Loan other than on the last day of the Interest Period applicable thereto as a result of a request by the Borrowers pursuant to Section 2.18, then, in any such event, the Borrowers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LIBO Rate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A certificate of any Lender setting forth in reasonable detail any amount or amounts that such Lender is entitled to receive pursuant to this Section shall be delivered to the Borrowers and shall be conclusive absent manifest error. The Borrowers shall pay such Lender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t>shown as due on any such certificate within ten (10) days (or such later date as may be agreed by the applicable Lender) after receipt thereof.</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4" w:lineRule="auto"/>
        <w:tabs>
          <w:tab w:leader="none" w:pos="17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Without limiting the provisions of subsection (a) above, the Loan Parties shall timely pay to the relevant Governmental Authority in accordance with applicable law, or at the option of the Administrative Agent timely reimburse it for the payment of, any Other Taxes.</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6" w:lineRule="auto"/>
        <w:tabs>
          <w:tab w:leader="none" w:pos="237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1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and does hereby, severally indemnify, and shall make payment in respect thereof within 10 days after demand therefor, (x) the Administrative Agent against any Indemnified Taxes attributable to such Lender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344" w:name="page345"/>
    <w:bookmarkEnd w:id="344"/>
    <w:p>
      <w:pPr>
        <w:jc w:val="both"/>
        <w:spacing w:after="0" w:line="256" w:lineRule="auto"/>
        <w:rPr>
          <w:sz w:val="20"/>
          <w:szCs w:val="20"/>
          <w:color w:val="auto"/>
        </w:rPr>
      </w:pPr>
      <w:r>
        <w:rPr>
          <w:rFonts w:ascii="Times New Roman" w:cs="Times New Roman" w:eastAsia="Times New Roman" w:hAnsi="Times New Roman"/>
          <w:sz w:val="18"/>
          <w:szCs w:val="18"/>
          <w:color w:val="auto"/>
        </w:rPr>
        <w:t>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hereby authorizes the Administrative Agent or any Loan Party, as applicable, to set off and apply any and all amounts at any time owing to such Lender, as the case may be, under this Agreement or any other Loan Document against any amount due to the Administrative Agent or any Loan Party, as applicable, under this clause (ii).</w:t>
      </w:r>
    </w:p>
    <w:p>
      <w:pPr>
        <w:spacing w:after="0" w:line="188" w:lineRule="exact"/>
        <w:rPr>
          <w:sz w:val="20"/>
          <w:szCs w:val="20"/>
          <w:color w:val="auto"/>
        </w:rPr>
      </w:pPr>
    </w:p>
    <w:p>
      <w:pPr>
        <w:jc w:val="both"/>
        <w:ind w:firstLine="1305"/>
        <w:spacing w:after="0" w:line="258" w:lineRule="auto"/>
        <w:tabs>
          <w:tab w:leader="none" w:pos="168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Upon request by the Company or the Administrative Agent, as the case may be, after any payment of Taxes on amounts payable under this Agreement or any other Loan Document by any Loan Party or by the Administrative Agent to a Governmental Authority as provided in this Section 2.16,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83"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3"/>
        <w:spacing w:after="0" w:line="253" w:lineRule="auto"/>
        <w:tabs>
          <w:tab w:leader="none" w:pos="229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(other than withholding Tax imposed by the United Kingdom)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Section 2.16(e)(ii)(A), (ii)(B) and (ii)(D)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0"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 Borrower is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1" w:right="239" w:bottom="1440" w:gutter="0" w:footer="0" w:header="0"/>
        </w:sectPr>
      </w:pPr>
    </w:p>
    <w:bookmarkStart w:id="345" w:name="page346"/>
    <w:bookmarkEnd w:id="345"/>
    <w:p>
      <w:pPr>
        <w:jc w:val="both"/>
        <w:ind w:left="100" w:firstLine="1301"/>
        <w:spacing w:after="0" w:line="261" w:lineRule="auto"/>
        <w:tabs>
          <w:tab w:leader="none" w:pos="185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 9 certifying that such Lender is exempt from U.S. federal backup withholding tax;</w:t>
      </w:r>
    </w:p>
    <w:p>
      <w:pPr>
        <w:spacing w:after="0" w:line="180" w:lineRule="exact"/>
        <w:rPr>
          <w:rFonts w:ascii="Times New Roman" w:cs="Times New Roman" w:eastAsia="Times New Roman" w:hAnsi="Times New Roman"/>
          <w:sz w:val="18"/>
          <w:szCs w:val="18"/>
          <w:color w:val="auto"/>
        </w:rPr>
      </w:pPr>
    </w:p>
    <w:p>
      <w:pPr>
        <w:jc w:val="both"/>
        <w:ind w:left="100" w:firstLine="1301"/>
        <w:spacing w:after="0" w:line="261" w:lineRule="auto"/>
        <w:tabs>
          <w:tab w:leader="none" w:pos="18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jc w:val="both"/>
        <w:ind w:left="1400" w:firstLine="1"/>
        <w:spacing w:after="0" w:line="256" w:lineRule="auto"/>
        <w:tabs>
          <w:tab w:leader="none" w:pos="17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188" w:lineRule="exact"/>
        <w:rPr>
          <w:sz w:val="20"/>
          <w:szCs w:val="20"/>
          <w:color w:val="auto"/>
        </w:rPr>
      </w:pPr>
    </w:p>
    <w:p>
      <w:pPr>
        <w:ind w:left="1400"/>
        <w:spacing w:after="0"/>
        <w:tabs>
          <w:tab w:leader="none" w:pos="18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executed originals of IRS Form W-8ECI;</w:t>
      </w:r>
    </w:p>
    <w:p>
      <w:pPr>
        <w:spacing w:after="0" w:line="225" w:lineRule="exact"/>
        <w:rPr>
          <w:sz w:val="20"/>
          <w:szCs w:val="20"/>
          <w:color w:val="auto"/>
        </w:rPr>
      </w:pPr>
    </w:p>
    <w:p>
      <w:pPr>
        <w:jc w:val="both"/>
        <w:ind w:left="1400" w:firstLine="1"/>
        <w:spacing w:after="0" w:line="255" w:lineRule="auto"/>
        <w:tabs>
          <w:tab w:leader="none" w:pos="18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K-1 to the effect that such Foreign Lender is not a “bank” within the meaning of Section 881(c)(3)(A) of the Code, a “10 percent shareholder” of the Company or any Affiliate within the meaning of Section 881(c)(3)(B) of the Code, or a “controlled foreign corporation” described in Section 881(c)</w:t>
      </w:r>
    </w:p>
    <w:p>
      <w:pPr>
        <w:spacing w:after="0" w:line="2" w:lineRule="exact"/>
        <w:rPr>
          <w:rFonts w:ascii="Times New Roman" w:cs="Times New Roman" w:eastAsia="Times New Roman" w:hAnsi="Times New Roman"/>
          <w:sz w:val="18"/>
          <w:szCs w:val="18"/>
          <w:color w:val="auto"/>
        </w:rPr>
      </w:pPr>
    </w:p>
    <w:p>
      <w:pPr>
        <w:ind w:left="14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 (a “United States Tax Compliance Certificate”) and (y) executed originals of IRS Form W-8BEN or W-BEN-E (or successor form); or</w:t>
      </w:r>
    </w:p>
    <w:p>
      <w:pPr>
        <w:spacing w:after="0" w:line="180" w:lineRule="exact"/>
        <w:rPr>
          <w:sz w:val="20"/>
          <w:szCs w:val="20"/>
          <w:color w:val="auto"/>
        </w:rPr>
      </w:pPr>
    </w:p>
    <w:p>
      <w:pPr>
        <w:jc w:val="both"/>
        <w:ind w:left="1400"/>
        <w:spacing w:after="0" w:line="258"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originals of IRS Form W-8IMY, accompanied by IRS Form W-8ECI, IRS Form W-8BEN or W-8BEN-E (or successor form), a United States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220"/>
          </w:cols>
          <w:pgMar w:left="1440" w:top="580" w:right="239" w:bottom="1440" w:gutter="0" w:footer="0" w:header="0"/>
        </w:sectPr>
      </w:pPr>
    </w:p>
    <w:bookmarkStart w:id="346" w:name="page347"/>
    <w:bookmarkEnd w:id="346"/>
    <w:p>
      <w:pPr>
        <w:ind w:left="2600" w:right="20"/>
        <w:spacing w:after="0" w:line="282" w:lineRule="auto"/>
        <w:rPr>
          <w:sz w:val="20"/>
          <w:szCs w:val="20"/>
          <w:color w:val="auto"/>
        </w:rPr>
      </w:pPr>
      <w:r>
        <w:rPr>
          <w:rFonts w:ascii="Times New Roman" w:cs="Times New Roman" w:eastAsia="Times New Roman" w:hAnsi="Times New Roman"/>
          <w:sz w:val="18"/>
          <w:szCs w:val="18"/>
          <w:color w:val="auto"/>
        </w:rPr>
        <w:t>are claiming the portfolio interest exemption, such Foreign Lender may provide a United States Tax Compliance Certificate substantially in the form of Exhibit F-4 on behalf of each such direct and indirect partner;</w:t>
      </w:r>
    </w:p>
    <w:p>
      <w:pPr>
        <w:spacing w:after="0" w:line="162" w:lineRule="exact"/>
        <w:rPr>
          <w:sz w:val="20"/>
          <w:szCs w:val="20"/>
          <w:color w:val="auto"/>
        </w:rPr>
      </w:pPr>
    </w:p>
    <w:p>
      <w:pPr>
        <w:jc w:val="both"/>
        <w:ind w:left="1300" w:firstLine="1301"/>
        <w:spacing w:after="0" w:line="256" w:lineRule="auto"/>
        <w:tabs>
          <w:tab w:leader="none" w:pos="3030"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7" w:lineRule="exact"/>
        <w:rPr>
          <w:rFonts w:ascii="Times New Roman" w:cs="Times New Roman" w:eastAsia="Times New Roman" w:hAnsi="Times New Roman"/>
          <w:sz w:val="18"/>
          <w:szCs w:val="18"/>
          <w:color w:val="auto"/>
        </w:rPr>
      </w:pPr>
    </w:p>
    <w:p>
      <w:pPr>
        <w:jc w:val="both"/>
        <w:ind w:left="1300" w:firstLine="1301"/>
        <w:spacing w:after="0" w:line="254" w:lineRule="auto"/>
        <w:tabs>
          <w:tab w:leader="none" w:pos="3139"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rFonts w:ascii="Times New Roman" w:cs="Times New Roman" w:eastAsia="Times New Roman" w:hAnsi="Times New Roman"/>
          <w:sz w:val="18"/>
          <w:szCs w:val="18"/>
          <w:color w:val="auto"/>
        </w:rPr>
      </w:pPr>
    </w:p>
    <w:p>
      <w:pPr>
        <w:ind w:right="380" w:firstLine="1953"/>
        <w:spacing w:after="0" w:line="266" w:lineRule="auto"/>
        <w:tabs>
          <w:tab w:leader="none" w:pos="2395"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pursuant to this Section 2.16(e) expires or becomes obsolete or inaccurate in any respect, it shall update such form or certification or promptly notify the Company and the Administrative Agent in writing of its legal inability to do so.</w:t>
      </w:r>
    </w:p>
    <w:p>
      <w:pPr>
        <w:spacing w:after="0" w:line="17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8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80" w:right="239" w:bottom="1440" w:gutter="0" w:footer="0" w:header="0"/>
        </w:sectPr>
      </w:pPr>
    </w:p>
    <w:bookmarkStart w:id="347" w:name="page348"/>
    <w:bookmarkEnd w:id="347"/>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5" w:lineRule="exact"/>
        <w:rPr>
          <w:sz w:val="20"/>
          <w:szCs w:val="20"/>
          <w:color w:val="auto"/>
        </w:rPr>
      </w:pPr>
    </w:p>
    <w:p>
      <w:pPr>
        <w:ind w:left="1700" w:hanging="395"/>
        <w:spacing w:after="0"/>
        <w:tabs>
          <w:tab w:leader="none" w:pos="17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UK Treaty Passport Scheme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320" w:hanging="367"/>
        <w:spacing w:after="0"/>
        <w:tabs>
          <w:tab w:leader="none" w:pos="232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UK Treaty Lender which on the date of this Agreement (x) holds a passport under the UK Treaty Passport Scheme and</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7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wishes such scheme to apply to any Loan it may make to the UK Borrower under this Agreement, shall deliver its scheme reference number and its jurisdiction of Tax residence to the Administrative Agent and Company within 10 Business Days of this Agreement.</w:t>
      </w:r>
    </w:p>
    <w:p>
      <w:pPr>
        <w:spacing w:after="0" w:line="179" w:lineRule="exact"/>
        <w:rPr>
          <w:rFonts w:ascii="Times New Roman" w:cs="Times New Roman" w:eastAsia="Times New Roman" w:hAnsi="Times New Roman"/>
          <w:sz w:val="18"/>
          <w:szCs w:val="18"/>
          <w:color w:val="auto"/>
        </w:rPr>
      </w:pPr>
    </w:p>
    <w:p>
      <w:pPr>
        <w:jc w:val="both"/>
        <w:ind w:firstLine="1953"/>
        <w:spacing w:after="0" w:line="266" w:lineRule="auto"/>
        <w:tabs>
          <w:tab w:leader="none" w:pos="2352"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which becomes a Lender hereunder after the day on which this Agreement is entered into and (x) holds a passport under the UK Treaty Passport Scheme and (y) wishes such scheme to apply to any Loans it may make under this Agreement, shall set out its scheme reference number and its jurisdiction of tax residence in the relevant Assignment and Assumption.</w:t>
      </w:r>
    </w:p>
    <w:p>
      <w:pPr>
        <w:spacing w:after="0" w:line="176" w:lineRule="exact"/>
        <w:rPr>
          <w:sz w:val="20"/>
          <w:szCs w:val="20"/>
          <w:color w:val="auto"/>
        </w:rPr>
      </w:pPr>
    </w:p>
    <w:p>
      <w:pPr>
        <w:jc w:val="both"/>
        <w:ind w:firstLine="1953"/>
        <w:spacing w:after="0" w:line="261" w:lineRule="auto"/>
        <w:tabs>
          <w:tab w:leader="none" w:pos="25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Lender has confirmed its scheme reference number and its jurisdiction of Tax residence in accordance with paragraph (h)(i) or paragraph (h)(ii) above, the UK Borrower shall make the UK Borrower DTTP Filing with respect to such Lender within thirty (30) Business Days of the date of this Agreement or, if later, thirty (30) Business Days before the first interest payment is due to such Lender and shall promptly provide such Lender with a copy of such filing,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UK Borrower has made the UK Borrower DTTP Filing in respect of such Lender but:</w:t>
      </w:r>
    </w:p>
    <w:p>
      <w:pPr>
        <w:spacing w:after="0" w:line="180" w:lineRule="exact"/>
        <w:rPr>
          <w:rFonts w:ascii="Times New Roman" w:cs="Times New Roman" w:eastAsia="Times New Roman" w:hAnsi="Times New Roman"/>
          <w:sz w:val="18"/>
          <w:szCs w:val="18"/>
          <w:color w:val="auto"/>
        </w:rPr>
      </w:pPr>
    </w:p>
    <w:p>
      <w:pPr>
        <w:ind w:left="3040" w:hanging="439"/>
        <w:spacing w:after="0"/>
        <w:tabs>
          <w:tab w:leader="none" w:pos="30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UK Borrower DTTP Filing has been rejected by HM Revenue &amp; Customs; or</w:t>
      </w:r>
    </w:p>
    <w:p>
      <w:pPr>
        <w:spacing w:after="0" w:line="225" w:lineRule="exact"/>
        <w:rPr>
          <w:rFonts w:ascii="Times New Roman" w:cs="Times New Roman" w:eastAsia="Times New Roman" w:hAnsi="Times New Roman"/>
          <w:sz w:val="18"/>
          <w:szCs w:val="18"/>
          <w:color w:val="auto"/>
        </w:rPr>
      </w:pPr>
    </w:p>
    <w:p>
      <w:pPr>
        <w:ind w:left="1300" w:firstLine="1301"/>
        <w:spacing w:after="0" w:line="282" w:lineRule="auto"/>
        <w:tabs>
          <w:tab w:leader="none" w:pos="308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 Revenue &amp; Customs has not given the UK Borrower authority to make payments to such Lender without a deduction for Tax within sixty (60) days of the date of such UK Borrower DTTP Filing;</w:t>
      </w:r>
    </w:p>
    <w:p>
      <w:pPr>
        <w:spacing w:after="0" w:line="162"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(and, in each case, the UK Borrower has notified that Lender in writing), then such Lender and the UK Borrower shall co-operate in completing any additional procedural formalities necessary for the UK Borrower to obtain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348" w:name="page349"/>
    <w:bookmarkEnd w:id="348"/>
    <w:p>
      <w:pPr>
        <w:ind w:left="1960"/>
        <w:spacing w:after="0"/>
        <w:rPr>
          <w:sz w:val="20"/>
          <w:szCs w:val="20"/>
          <w:color w:val="auto"/>
        </w:rPr>
      </w:pPr>
      <w:r>
        <w:rPr>
          <w:rFonts w:ascii="Times New Roman" w:cs="Times New Roman" w:eastAsia="Times New Roman" w:hAnsi="Times New Roman"/>
          <w:sz w:val="18"/>
          <w:szCs w:val="18"/>
          <w:color w:val="auto"/>
        </w:rPr>
        <w:t>authorization to make that payment under this Agreement without UK withholding or deduction.</w:t>
      </w:r>
    </w:p>
    <w:p>
      <w:pPr>
        <w:spacing w:after="0" w:line="225" w:lineRule="exact"/>
        <w:rPr>
          <w:sz w:val="20"/>
          <w:szCs w:val="20"/>
          <w:color w:val="auto"/>
        </w:rPr>
      </w:pPr>
    </w:p>
    <w:p>
      <w:pPr>
        <w:ind w:left="2400" w:hanging="447"/>
        <w:spacing w:after="0"/>
        <w:tabs>
          <w:tab w:leader="none" w:pos="24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2.16 shall require a UK Treaty Lender to:</w:t>
      </w:r>
    </w:p>
    <w:p>
      <w:pPr>
        <w:spacing w:after="0" w:line="225" w:lineRule="exact"/>
        <w:rPr>
          <w:rFonts w:ascii="Times New Roman" w:cs="Times New Roman" w:eastAsia="Times New Roman" w:hAnsi="Times New Roman"/>
          <w:sz w:val="18"/>
          <w:szCs w:val="18"/>
          <w:color w:val="auto"/>
        </w:rPr>
      </w:pPr>
    </w:p>
    <w:p>
      <w:pPr>
        <w:ind w:left="3040" w:hanging="439"/>
        <w:spacing w:after="0"/>
        <w:tabs>
          <w:tab w:leader="none" w:pos="304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under the UK Treaty Passport Scheme;</w:t>
      </w:r>
    </w:p>
    <w:p>
      <w:pPr>
        <w:spacing w:after="0" w:line="225" w:lineRule="exact"/>
        <w:rPr>
          <w:rFonts w:ascii="Times New Roman" w:cs="Times New Roman" w:eastAsia="Times New Roman" w:hAnsi="Times New Roman"/>
          <w:sz w:val="18"/>
          <w:szCs w:val="18"/>
          <w:color w:val="auto"/>
        </w:rPr>
      </w:pPr>
    </w:p>
    <w:p>
      <w:pPr>
        <w:ind w:left="3020" w:hanging="419"/>
        <w:spacing w:after="0"/>
        <w:tabs>
          <w:tab w:leader="none" w:pos="302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UK Treaty Passport Scheme to the Term Loan if it has so registered; or</w:t>
      </w:r>
    </w:p>
    <w:p>
      <w:pPr>
        <w:spacing w:after="0" w:line="225" w:lineRule="exact"/>
        <w:rPr>
          <w:rFonts w:ascii="Times New Roman" w:cs="Times New Roman" w:eastAsia="Times New Roman" w:hAnsi="Times New Roman"/>
          <w:sz w:val="18"/>
          <w:szCs w:val="18"/>
          <w:color w:val="auto"/>
        </w:rPr>
      </w:pPr>
    </w:p>
    <w:p>
      <w:pPr>
        <w:jc w:val="both"/>
        <w:ind w:left="1300" w:firstLine="1301"/>
        <w:spacing w:after="0" w:line="266" w:lineRule="auto"/>
        <w:tabs>
          <w:tab w:leader="none" w:pos="3051"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UK Treaty forms if it has included an indication to the effect that it wishes the UK Treaty Passport Scheme to apply to this Agreement in accordance with Section 2.16(h)(i) or Section 2.16(h)(ii) (UK Treaty Passport Scheme confirmation) and the UK Borrower making that payment has not complied with its obligations under Section 2.16(h)(iii).</w:t>
      </w:r>
    </w:p>
    <w:p>
      <w:pPr>
        <w:spacing w:after="0" w:line="176" w:lineRule="exact"/>
        <w:rPr>
          <w:rFonts w:ascii="Times New Roman" w:cs="Times New Roman" w:eastAsia="Times New Roman" w:hAnsi="Times New Roman"/>
          <w:sz w:val="18"/>
          <w:szCs w:val="18"/>
          <w:color w:val="auto"/>
        </w:rPr>
      </w:pPr>
    </w:p>
    <w:p>
      <w:pPr>
        <w:ind w:firstLine="1953"/>
        <w:spacing w:after="0" w:line="282" w:lineRule="auto"/>
        <w:tabs>
          <w:tab w:leader="none" w:pos="241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Borrower shall, promptly on making a UK Borrower DTTP Filing, deliver a copy of such UK Borrower DTTP Filing to the Administrative Agent for delivery to the relevant Lender.</w:t>
      </w:r>
    </w:p>
    <w:p>
      <w:pPr>
        <w:spacing w:after="0" w:line="161"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UK Treaty Lender has not confirmed its scheme reference number and jurisdiction of tax residence in accordance with paragraph (j)(i) or paragraph (j)(ii) above, the UK Borrower shall not (unless the Lender otherwise agrees) make a UK Borrower DTTP filing or file any other form relating to the UK Treaty Passport Scheme in respect of that Lender’s Commitments(s) or its participation in any Loan, but that Lender and the UK Borrower shall co-operate in the prompt completion of any procedural formalities necessary for the UK Borrower to obtain authorization to make payments to the Lender under this Agreement without UK withholding or deduction.</w:t>
      </w:r>
    </w:p>
    <w:p>
      <w:pPr>
        <w:spacing w:after="0" w:line="18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1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Confirmation</w:t>
      </w:r>
      <w:r>
        <w:rPr>
          <w:rFonts w:ascii="Times New Roman" w:cs="Times New Roman" w:eastAsia="Times New Roman" w:hAnsi="Times New Roman"/>
          <w:sz w:val="18"/>
          <w:szCs w:val="18"/>
          <w:color w:val="auto"/>
        </w:rPr>
        <w:t>. Each Lender which becomes a party to this Agreement on the day on which this Agreement is entered shall confirm whether or not it is a Qualifying Lender and, if it is a UK Treaty Lender, shall provide the UK Borrower notice to that effect, in each case within 10 Business Days of this Agreement. Each Lender which becomes a party to this Agreement pursuant to an Assignment and Assumption shall indicate in the Assignment and Assumption whether or not it is a Qualifying Lender and if it is a UK Treaty Lender, shall include an indication to that effect in the Assignment and Assumption. For the avoidance of doubt, the Agreement or an Assignment and Assumption shall not be invalidated by any failure of a Lender to comply with this Section 2.16(i).</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Changes</w:t>
      </w:r>
      <w:r>
        <w:rPr>
          <w:rFonts w:ascii="Times New Roman" w:cs="Times New Roman" w:eastAsia="Times New Roman" w:hAnsi="Times New Roman"/>
          <w:sz w:val="18"/>
          <w:szCs w:val="18"/>
          <w:color w:val="auto"/>
        </w:rPr>
        <w:t>. The UK Borrower shall promptly, upon becoming aware that it must make a UK withholding or deduction (or that there is any change in the rate or the basis of such UK withholding or deduction) notify the Administrative Agent accordingly. Similarly, a Lender shall notify the Administrative Agent promptly on becoming so aware in respect of a payment payable to that Lender. If the Administrative Agent receives such notification from a Lender it shall notify the UK Borrower.</w:t>
      </w:r>
    </w:p>
    <w:p>
      <w:pPr>
        <w:spacing w:after="0" w:line="180"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Added Tax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349" w:name="page350"/>
    <w:bookmarkEnd w:id="349"/>
    <w:p>
      <w:pPr>
        <w:jc w:val="both"/>
        <w:ind w:firstLine="1953"/>
        <w:spacing w:after="0" w:line="258" w:lineRule="auto"/>
        <w:tabs>
          <w:tab w:leader="none" w:pos="2323"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set out or expressed in a Loan Document to be payable by any party to any Lender which (in whole or in part) constitute the consideration for a supply or supplies for VAT purposes shall be deemed to be exclusive of any VAT which is chargeable on such supply or supplies, and accordingly, if VAT is or becomes chargeable on any supply made by any Lender to any party under a Loan Document, that party shall pay to the Lender (in addition to and at the same time as paying any other consideration for such supply) an amount equal to the amount of such VAT (and such Lender shall promptly provide an appropriate VAT invoice to such party).</w:t>
      </w:r>
    </w:p>
    <w:p>
      <w:pPr>
        <w:spacing w:after="0" w:line="183"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1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Lender for any cost or expense, that party shall reimburse or indemnify (as the case may be) such Lender for the full amount of such cost or expense, including such part thereof as represents VAT, save to the extent that such Lender reasonably determines that it is entitled to credit or repayment in respect of such VAT from the relevant tax authority.</w:t>
      </w:r>
    </w:p>
    <w:p>
      <w:pPr>
        <w:spacing w:after="0" w:line="176"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2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2.16(k)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United Kingdom Value Added Tax Act 1994).</w:t>
      </w:r>
    </w:p>
    <w:p>
      <w:pPr>
        <w:spacing w:after="0" w:line="176" w:lineRule="exact"/>
        <w:rPr>
          <w:rFonts w:ascii="Times New Roman" w:cs="Times New Roman" w:eastAsia="Times New Roman" w:hAnsi="Times New Roman"/>
          <w:sz w:val="18"/>
          <w:szCs w:val="18"/>
          <w:color w:val="auto"/>
        </w:rPr>
      </w:pPr>
    </w:p>
    <w:p>
      <w:pPr>
        <w:jc w:val="both"/>
        <w:ind w:firstLine="1953"/>
        <w:spacing w:after="0" w:line="261" w:lineRule="auto"/>
        <w:tabs>
          <w:tab w:leader="none" w:pos="2515"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Lender or the Administrative Agent to any party under any Loan Document, if reasonably requested by such Lender or Administrative Agent, that party shall promptly provide such Lender or Administrative Agent with details of that party’s VAT registration and such other information as is reasonably requested in connection with such Lender’s or Administrative Agent’s VAT reporting requirements in relation to such supply.</w:t>
      </w:r>
    </w:p>
    <w:p>
      <w:pPr>
        <w:spacing w:after="0" w:line="180"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6" w:lineRule="auto"/>
        <w:tabs>
          <w:tab w:leader="none" w:pos="17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(whether of principal, interest, or fees, or of amounts payable under Section 2.14, 2.15 or 2.16, or otherwise) without condition or deduction for any counterclaim, defense, recoupment or setoff prior to 2:00 p.m., New York City time.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in Dollars and in immediately available funds, except that payments pursuant to Sections 2.14, 2.15, 2.16 and 9.03 shall be made directly to the Persons entitled thereto. The Administrative Agent shall distribute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1" w:right="239" w:bottom="1440" w:gutter="0" w:footer="0" w:header="0"/>
        </w:sectPr>
      </w:pPr>
    </w:p>
    <w:bookmarkStart w:id="350" w:name="page351"/>
    <w:bookmarkEnd w:id="350"/>
    <w:p>
      <w:pPr>
        <w:jc w:val="both"/>
        <w:spacing w:after="0" w:line="266" w:lineRule="auto"/>
        <w:rPr>
          <w:sz w:val="20"/>
          <w:szCs w:val="20"/>
          <w:color w:val="auto"/>
        </w:rPr>
      </w:pPr>
      <w:r>
        <w:rPr>
          <w:rFonts w:ascii="Times New Roman" w:cs="Times New Roman" w:eastAsia="Times New Roman" w:hAnsi="Times New Roman"/>
          <w:sz w:val="18"/>
          <w:szCs w:val="18"/>
          <w:color w:val="auto"/>
        </w:rPr>
        <w:t>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76" w:lineRule="exact"/>
        <w:rPr>
          <w:sz w:val="20"/>
          <w:szCs w:val="20"/>
          <w:color w:val="auto"/>
        </w:rPr>
      </w:pPr>
    </w:p>
    <w:p>
      <w:pPr>
        <w:jc w:val="both"/>
        <w:ind w:firstLine="1305"/>
        <w:spacing w:after="0" w:line="258" w:lineRule="auto"/>
        <w:tabs>
          <w:tab w:leader="none" w:pos="177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based on the amount thereof among the parties entitled thereto in accordance with the amounts of interest and fees then due to such parties, and (ii) second, towards payment of principal then due hereunder, ratably based on the amount thereof among the parties entitled thereto in accordance with the amounts of principal then due to such parties.</w:t>
      </w:r>
    </w:p>
    <w:p>
      <w:pPr>
        <w:spacing w:after="0" w:line="183"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2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to any assignee or participant in accordance with Section 9.04.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2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applicable Borrower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subsection (d)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80" w:right="239" w:bottom="1440" w:gutter="0" w:footer="0" w:header="0"/>
        </w:sectPr>
      </w:pPr>
    </w:p>
    <w:bookmarkStart w:id="351" w:name="page352"/>
    <w:bookmarkEnd w:id="351"/>
    <w:p>
      <w:pPr>
        <w:jc w:val="both"/>
        <w:ind w:left="-20" w:firstLine="1305"/>
        <w:spacing w:after="0" w:line="256" w:lineRule="auto"/>
        <w:tabs>
          <w:tab w:leader="none" w:pos="167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and to make payments are several and not joint. The failure of any Lender to make any Loan or to make any payment on any date required hereunder shall not relieve any other Lender of its corresponding obligation to do so on such date, and no Lender shall be responsible for the failure of any other Lender to so make its Loan or to make its payments.</w:t>
      </w:r>
    </w:p>
    <w:p>
      <w:pPr>
        <w:spacing w:after="0" w:line="18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305"/>
        <w:spacing w:after="0" w:line="255" w:lineRule="auto"/>
        <w:tabs>
          <w:tab w:leader="none" w:pos="167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2.14, or if the Borrowers are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Borrowers hereby agree to pay all reasonable out-of-pocket costs and expenses incurred by any Lender in connection with any such designation or assignment. Any Lender claiming reimbursement of such costs and expenses shall deliver to the Company a certificate setting forth such costs and expenses in reasonable detail which shall be conclusive absent manifest error.</w:t>
      </w:r>
    </w:p>
    <w:p>
      <w:pPr>
        <w:spacing w:after="0" w:line="185" w:lineRule="exact"/>
        <w:rPr>
          <w:rFonts w:ascii="Times New Roman" w:cs="Times New Roman" w:eastAsia="Times New Roman" w:hAnsi="Times New Roman"/>
          <w:sz w:val="18"/>
          <w:szCs w:val="18"/>
          <w:color w:val="auto"/>
        </w:rPr>
      </w:pPr>
    </w:p>
    <w:p>
      <w:pPr>
        <w:jc w:val="both"/>
        <w:ind w:left="-20" w:firstLine="1305"/>
        <w:spacing w:after="0" w:line="253" w:lineRule="auto"/>
        <w:tabs>
          <w:tab w:leader="none" w:pos="174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(1) any Lender requests compensation under Section 2.14, (2) the Borrowers are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(5) if any Lender is prohibited under applicable Law from making or maintaining, or is not licensed to make or maintain, the Term Loan or other applicable extensions of credit to New Mylan (provided that New Mylan is incorporated in a Permitted Jurisdiction) in accordance with this Agreement or does not consent to any request by the Company to include additional jurisdiction (of incorporation, tax residence or otherwise) as a “Permitted Jurisdiction” that is consented to by the Required Lenders or (6)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60" w:top="580" w:right="239" w:bottom="1440" w:gutter="0" w:footer="0" w:header="0"/>
        </w:sectPr>
      </w:pPr>
    </w:p>
    <w:bookmarkStart w:id="352" w:name="page353"/>
    <w:bookmarkEnd w:id="352"/>
    <w:p>
      <w:pPr>
        <w:ind w:firstLine="1953"/>
        <w:spacing w:after="0" w:line="282" w:lineRule="auto"/>
        <w:tabs>
          <w:tab w:leader="none" w:pos="236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paid to the Administrative Agent the assignment fee specified in Section 9.04 (unless otherwise agreed by the Administrative Agent);</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2.15) from the assignee (to the extent of such outstanding principal and accrued interest and fees) or the Borrowers (in the case of all other amounts);</w:t>
      </w:r>
    </w:p>
    <w:p>
      <w:pPr>
        <w:spacing w:after="0" w:line="176" w:lineRule="exact"/>
        <w:rPr>
          <w:rFonts w:ascii="Times New Roman" w:cs="Times New Roman" w:eastAsia="Times New Roman" w:hAnsi="Times New Roman"/>
          <w:sz w:val="18"/>
          <w:szCs w:val="18"/>
          <w:color w:val="auto"/>
        </w:rPr>
      </w:pPr>
    </w:p>
    <w:p>
      <w:pPr>
        <w:ind w:right="20" w:firstLine="1953"/>
        <w:spacing w:after="0" w:line="282" w:lineRule="auto"/>
        <w:tabs>
          <w:tab w:leader="none" w:pos="242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2.14 or payments required to be made pursuant to Section 2.16, such assignment will result in a reduction in such compensation or payments thereafter; and</w:t>
      </w:r>
    </w:p>
    <w:p>
      <w:pPr>
        <w:spacing w:after="0" w:line="161" w:lineRule="exact"/>
        <w:rPr>
          <w:rFonts w:ascii="Times New Roman" w:cs="Times New Roman" w:eastAsia="Times New Roman" w:hAnsi="Times New Roman"/>
          <w:sz w:val="18"/>
          <w:szCs w:val="18"/>
          <w:color w:val="auto"/>
        </w:rPr>
      </w:pPr>
    </w:p>
    <w:p>
      <w:pPr>
        <w:jc w:val="both"/>
        <w:ind w:firstLine="1953"/>
        <w:spacing w:after="0" w:line="266" w:lineRule="auto"/>
        <w:tabs>
          <w:tab w:leader="none" w:pos="243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76" w:lineRule="exact"/>
        <w:rPr>
          <w:rFonts w:ascii="Times New Roman" w:cs="Times New Roman" w:eastAsia="Times New Roman" w:hAnsi="Times New Roman"/>
          <w:sz w:val="18"/>
          <w:szCs w:val="18"/>
          <w:color w:val="auto"/>
        </w:rPr>
      </w:pPr>
    </w:p>
    <w:p>
      <w:pPr>
        <w:jc w:val="both"/>
        <w:ind w:firstLine="1953"/>
        <w:spacing w:after="0" w:line="261" w:lineRule="auto"/>
        <w:tabs>
          <w:tab w:leader="none" w:pos="23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circumstance described in clause (5) above, (A) the applicable assignee shall be permitted under Law and licensed to make and maintain the Term Loan to New Mylan in accordance with the terms of this Agreement and (B) after giving effect to such assignment (and to any other assignments made in connection therewith), each Lender shall be permitted under applicable Law and licensed to make and maintain the Term Loan under this Agreement; and</w:t>
      </w:r>
    </w:p>
    <w:p>
      <w:pPr>
        <w:spacing w:after="0" w:line="180"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Borrowers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80" w:right="239" w:bottom="1440" w:gutter="0" w:footer="0" w:header="0"/>
        </w:sectPr>
      </w:pPr>
    </w:p>
    <w:bookmarkStart w:id="353" w:name="page354"/>
    <w:bookmarkEnd w:id="353"/>
    <w:p>
      <w:pPr>
        <w:jc w:val="both"/>
        <w:spacing w:after="0" w:line="256" w:lineRule="auto"/>
        <w:rPr>
          <w:sz w:val="20"/>
          <w:szCs w:val="20"/>
          <w:color w:val="auto"/>
        </w:rPr>
      </w:pPr>
      <w:r>
        <w:rPr>
          <w:rFonts w:ascii="Times New Roman" w:cs="Times New Roman" w:eastAsia="Times New Roman" w:hAnsi="Times New Roman"/>
          <w:sz w:val="18"/>
          <w:szCs w:val="18"/>
          <w:color w:val="auto"/>
        </w:rPr>
        <w:t>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Designated Borrower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2" w:lineRule="auto"/>
        <w:tabs>
          <w:tab w:leader="none" w:pos="176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Substantially concurrently with (or at any time after) the effectiveness of the Specified Acquisition Transaction (but solely to the extent New Mylan is not a Successor Borrower hereunder), Mylan may (upon not less than 15 Business Days’ prior written notice to the Administrative Agent and the Lenders (or such shorter time as the Administrative Agent may agree)), subject to the provisions of this Section 2.21(a), designate New Mylan as a Borrower hereunder to receive Loans and make Borrowings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 Request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Assumption Agreement</w:t>
      </w:r>
      <w:r>
        <w:rPr>
          <w:rFonts w:ascii="Times New Roman" w:cs="Times New Roman" w:eastAsia="Times New Roman" w:hAnsi="Times New Roman"/>
          <w:sz w:val="18"/>
          <w:szCs w:val="18"/>
          <w:color w:val="auto"/>
        </w:rPr>
        <w:t xml:space="preserve">”). The Administrative Agent and each Lender agree that New Mylan may become a “Designated Borrower” pursuant hereto without any requirement of further consent from the Lenders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New Mylan is organized under the laws of a Permitted Jurisdiction, (ii) New Mylan takes all such actions and executes and delivers to the Administrative Agent (A) a joinder to this Agreement in the form of Exhibit H, (B) all documents and other information reasonably requested by the Lenders in order to allow the Lenders to comply with applicable “know your customer” and anti-money laundering rules and regulations, including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or this Section 2.21(a) or that may be reasonably required by the Administrative Agent, (iii) each Lender, at the time of such designation, shall be permitted under applicable Laws and shall be licensed to maintain the Term Loan at New Mylan in accordance with the terms of this Agreement and the other Loan Documents, or, if any such Lender is not so permitted, such Lender may be replaced pursuant to Section 2.18, and (iv) New Mylan shall have all governmental approvals and authorizations necessary to act, and perform its obligations, as a Borrower in connection with this Agreement and the Loan Documents. Subject to satisfaction of the requirements set forth above, the Administrative Agent shall send a notice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to Mylan and the Lenders specifying the effective date upon which New Mylan shall constitute a designated borrower for purposes hereof (New Mylan, upon the satisfaction of such conditions, the “Designated Borrower”), whereupon each of the Lenders agrees that the Designated Borrower shall be a Borrower for all purposes of this Agreement.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7"/>
          <w:szCs w:val="17"/>
          <w:u w:val="single" w:color="auto"/>
          <w:color w:val="auto"/>
        </w:rPr>
        <w:t>[Intentionally Omitted]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sectPr>
      </w:pPr>
    </w:p>
    <w:bookmarkStart w:id="354" w:name="page355"/>
    <w:bookmarkEnd w:id="35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Substantially concurrently with (or at any time after) the effectiveness of the Specified Acquisition Transaction, the Company may (upon not less than 15 Business Days’ prior written notice to the Administrative Agent and the Lenders (or such shorter time as the Administrative Agent may agree)), subject to the provisions of this Section 2.23, designate New Mylan as a successor Borrower (the “Successor Borrower”) and effective as of the date hereof, the Administrative Agent and each Lender agree that New Mylan may become a “Successor Borrower” pursuant hereto without any requirement of further consent from the Lenders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New Mylan expressly assumes all the obligations of the Company under this Agreement and the other Loan Documents to which the Company is then party pursuant to a document set forth under clause (A) below, (ii) New Mylan is organized under the laws of a Permitted Jurisdiction, (iii) New Mylan takes all such actions and executes and delivers to the Administrative Agent (A) a joinder to this Agreement in the form of Exhibit H and with respect to any promissory note, a new promissory note substantially in the form of such existing promissory note, (B) all documents and other information reasonably requested by the Lenders in order to allow the Lenders to comply with applicable “know your customer” and anti-money laundering rules and regulations, including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(iv) each Lender, at the time of such designation, shall be permitted under applicable Laws and shall be licensed to maintain the Term Loan at New Mylan in accordance with the terms of this Agreement and the other Loan Documents, or, if any such Lender is not so permitted, such Lender may be replaced pursuant to the provisions of Section 2.18(b), (v) New Mylan shall have all governmental approvals and authorizations necessary to act, and perform its obligations, as a Borrower in connection with this Agreement and the Loan Documents, (vi) no Event of Default exists or would result from the designation thereof and (vii) each Guarantor shall have confirmed that its Guarantee shall apply to New Mylan’s obligations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foregoing are satisfied, (x) the Successor Borrower will succeed to, and be substituted for, the Company as the Borrower under this Agreement and (y) the Company shall be released from its obligations as a “Borrower”, but shall concurrently guarantee the Obligations in favor of the Administrative Agent and the Lenders in accordance with the provisions of Section 5.09 of this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induce the Administrative Agent and the Lenders to enter into this Agreement and to make the Term Loan, the Company represents and warrants to the Lenders on the Closing Date that: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 Subsidiaries</w:t>
      </w:r>
      <w:r>
        <w:rPr>
          <w:rFonts w:ascii="Times New Roman" w:cs="Times New Roman" w:eastAsia="Times New Roman" w:hAnsi="Times New Roman"/>
          <w:sz w:val="18"/>
          <w:szCs w:val="18"/>
          <w:color w:val="auto"/>
        </w:rPr>
        <w:t>. The Company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could not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1" w:right="239" w:bottom="1440" w:gutter="0" w:footer="0" w:header="0"/>
        </w:sectPr>
      </w:pPr>
    </w:p>
    <w:bookmarkStart w:id="355" w:name="page356"/>
    <w:bookmarkEnd w:id="35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reasonably be expected to result in a Material Adverse Effect, are qualified to do business in, and are in good standing (to the extent such concept is applicable) in, every jurisdiction where such qualification is required.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hereto identifies each Subsidiary of the Company on or as of a date no earlier than five Business Days prior to the Closing Date. All of the outstanding shares of capital stock and other equity interests on the Closing Date, to the extent owned by Mylan or any Subsidiary, of each Material Subsidiary are validly issued and outstanding and fully paid and nonassessable (if applicable) and all such shares and other equity interests are owned, beneficially and of record, by Mylan or such other Subsidiary on the Closing Date free and clear of all Liens, other than Liens permitted under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Mylan or any Subsidiary to issue, and no options, warrants or other rights of any Person other than Mylan or any Subsidiary to acquire, any shares of any class of capital stock or other equity interests of any Material Subsidiary, except as disclosed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could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could not reasonably be expected to have a Material Adverse Effect.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u w:val="single" w:color="auto"/>
          <w:color w:val="auto"/>
        </w:rPr>
        <w:t>Financial Statements; Financial Condition; No Material Adverse 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66" w:lineRule="auto"/>
        <w:tabs>
          <w:tab w:leader="none" w:pos="171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has heretofore furnished to the Lenders (i) the consolidated balance sheet and statements of earnings, stockholders equity and cash flows of Mylan (x) for each of the three fiscal years ended December 31, 2011, December 31, 2012 and December 31, 2013 reported on by Deloitte &amp; Touche LLP, independent public accountants, and (y) as of, and for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356" w:name="page357"/>
    <w:bookmarkEnd w:id="356"/>
    <w:p>
      <w:pPr>
        <w:spacing w:after="0" w:line="282" w:lineRule="auto"/>
        <w:rPr>
          <w:sz w:val="20"/>
          <w:szCs w:val="20"/>
          <w:color w:val="auto"/>
        </w:rPr>
      </w:pPr>
      <w:r>
        <w:rPr>
          <w:rFonts w:ascii="Times New Roman" w:cs="Times New Roman" w:eastAsia="Times New Roman" w:hAnsi="Times New Roman"/>
          <w:sz w:val="18"/>
          <w:szCs w:val="18"/>
          <w:color w:val="auto"/>
        </w:rPr>
        <w:t>the fiscal quarter ended, September 30, 2014, certified by its chief financial officer which financial statements present fairly, in all material respects, the consolidated financial position and results of operations and cash flows of Mylan as of such dates and for such periods in accordance with GAAP.</w:t>
      </w:r>
    </w:p>
    <w:p>
      <w:pPr>
        <w:spacing w:after="0" w:line="162" w:lineRule="exact"/>
        <w:rPr>
          <w:sz w:val="20"/>
          <w:szCs w:val="20"/>
          <w:color w:val="auto"/>
        </w:rPr>
      </w:pPr>
    </w:p>
    <w:p>
      <w:pPr>
        <w:ind w:firstLine="1305"/>
        <w:spacing w:after="0" w:line="282" w:lineRule="auto"/>
        <w:tabs>
          <w:tab w:leader="none" w:pos="172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2013, there has been no material adverse change in the business, assets, properties or financial condition of the Company and its Subsidiaries, taken as a whole.</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5"/>
        <w:spacing w:after="0" w:line="266" w:lineRule="auto"/>
        <w:tabs>
          <w:tab w:leader="none" w:pos="16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could not reasonably be expected to have a Material Adverse Effect.</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2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are licensed or possesses the right to use, all trademarks, tradenames, copyrights, patents and other intellectual property material to the operation of the business of the Company and its Subsidiaries, taken as a whole, and, to the knowledge of the Company,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u w:val="single" w:color="auto"/>
          <w:color w:val="auto"/>
        </w:rPr>
        <w:t>Litigation and Environmental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68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Company, threatened against or affecting the Company or any of its Subsidiaries as to which there is a reasonable possibility of an adverse determination that could reasonably be expected, individually or in the aggregate, to result in a Material Adverse Effect (other than the Disclosed Matters). There are no labor controversies pending against or, to the knowledge of the Company, threatened against or affecting the Company or any of its Subsidiaries which could reasonably be expected, individually or in the aggregate, to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1305"/>
        <w:spacing w:after="0" w:line="258" w:lineRule="auto"/>
        <w:tabs>
          <w:tab w:leader="none" w:pos="180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and except with respect to any other matters that, individually or in the aggregate, could not reasonably be expected to result in a Material Adverse Effect, neither the Company nor any of its Subsidiaries (i) has failed to comply with any applicable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Each of the Company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color w:val="auto"/>
        </w:rPr>
        <w:t>do so, individually or in the aggregate, could not reasonably be expected to result in a Material Adverse Effect.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Company nor any other Loan Party is required to register as an “investment company” as defined in the Investment Company Act of 1940.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Company and its Subsidiaries has filed or caused to be filed all Tax returns and reports required to have been filed and has paid or caused to be paid all Taxes (including any Taxes in the capacity of a withholding agent) required to have been paid by it, except (a) Taxes that are being contested in good faith by appropriate proceedings and for which the Company or such Subsidiary, as applicable, has set aside on its books reserves to the extent required by GAAP or (b) to the extent that the failure to do so could not reasonably be expected, individually or in the aggregate, to result in a Material Adverse Effect.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Company and its Subsidiaries, on a consolidated basis, are Solvent.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3.11</w:t>
        <w:tab/>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Company to the Administrative Agent or any Lender in connection with the negotiation of this Agreement or delivered hereunder (as modified or supplemented by other information so furnished), when taken as a whole and when taken together with the Company’s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Company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the Term Loan have been used or will be used, whether directly or indirectly, for any purpose that entails a violation of any of the Regulations of the Board, including Regulations T, U and X.</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of the Loan Parties and each of their respective Subsidiaries are in compliance, in all material respects, with the Act. No part of the proceeds of the Term Loan will be used, directly or indirectly, for any payments to any governmental official or employee, political party, official of a political party, candidate for political office, or anyone else acting in an official capacity, in order to obtain, retain or direct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0" w:right="2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color w:val="auto"/>
        </w:rPr>
        <w:t>business or obtain any improper advantage, in violation of the United States Foreign Corrupt Practices Act of 1977, as amended.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8" w:lineRule="auto"/>
        <w:tabs>
          <w:tab w:leader="none" w:pos="177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 a Person whose name appears on the list of Specially Designated Nationals and Blocked Persons published by OFAC (an “</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or a Person sanctioned by the United States of America pursuant to any of the regulations administered or enforced by OFAC (31 C.F.R., Subtitle B, Chapter V, as amended); or (ii) a department, agency or instrumentality of, or is otherwise controlled by or acting on behalf of, directly or indirectly, (x) any OFAC Listed Person, or (y) the government of a country the subject of comprehensive U.S. economic sanctions administered by OFAC (collectively, “</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6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covenants that neither the Term Loan, nor the proceeds from the Term Loan, will be used,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absent valid and effective license and permits issued by the government of the United States or otherwise in accordance with applicable Laws, or in any other manner that will result in any violation by any Lender, the Arrangers or the Administrative Agent of the sanctions administered or enforced by OFAC (31 C.F.R., Subtitle B, Chapter V, as amended).</w:t>
      </w:r>
    </w:p>
    <w:p>
      <w:pPr>
        <w:spacing w:after="0" w:line="188"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3.16</w:t>
      </w:r>
      <w:r>
        <w:rPr>
          <w:sz w:val="20"/>
          <w:szCs w:val="20"/>
          <w:color w:val="auto"/>
        </w:rPr>
        <w:tab/>
      </w:r>
      <w:r>
        <w:rPr>
          <w:rFonts w:ascii="Times New Roman" w:cs="Times New Roman" w:eastAsia="Times New Roman" w:hAnsi="Times New Roman"/>
          <w:sz w:val="18"/>
          <w:szCs w:val="18"/>
          <w:u w:val="single" w:color="auto"/>
          <w:color w:val="auto"/>
        </w:rPr>
        <w:t>Representations as to Foreign Obligors</w:t>
      </w:r>
      <w:r>
        <w:rPr>
          <w:rFonts w:ascii="Times New Roman" w:cs="Times New Roman" w:eastAsia="Times New Roman" w:hAnsi="Times New Roman"/>
          <w:sz w:val="18"/>
          <w:szCs w:val="18"/>
          <w:color w:val="auto"/>
        </w:rPr>
        <w:t>. Each of the Company and each Foreign Obligor represents and warrants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the Lenders that:</w:t>
      </w:r>
    </w:p>
    <w:p>
      <w:pPr>
        <w:spacing w:after="0" w:line="234" w:lineRule="exact"/>
        <w:rPr>
          <w:sz w:val="20"/>
          <w:szCs w:val="20"/>
          <w:color w:val="auto"/>
        </w:rPr>
      </w:pPr>
    </w:p>
    <w:p>
      <w:pPr>
        <w:jc w:val="both"/>
        <w:ind w:firstLine="1305"/>
        <w:spacing w:after="0" w:line="256" w:lineRule="auto"/>
        <w:tabs>
          <w:tab w:leader="none" w:pos="168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7"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9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0" w:right="239" w:bottom="1440" w:gutter="0" w:footer="0" w:header="0"/>
        </w:sectPr>
      </w:pPr>
    </w:p>
    <w:bookmarkStart w:id="359" w:name="page360"/>
    <w:bookmarkEnd w:id="359"/>
    <w:p>
      <w:pPr>
        <w:jc w:val="both"/>
        <w:spacing w:after="0" w:line="266" w:lineRule="auto"/>
        <w:rPr>
          <w:sz w:val="20"/>
          <w:szCs w:val="20"/>
          <w:color w:val="auto"/>
        </w:rPr>
      </w:pPr>
      <w:r>
        <w:rPr>
          <w:rFonts w:ascii="Times New Roman" w:cs="Times New Roman" w:eastAsia="Times New Roman" w:hAnsi="Times New Roman"/>
          <w:sz w:val="18"/>
          <w:szCs w:val="18"/>
          <w:color w:val="auto"/>
        </w:rPr>
        <w:t>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6" w:lineRule="exact"/>
        <w:rPr>
          <w:sz w:val="20"/>
          <w:szCs w:val="20"/>
          <w:color w:val="auto"/>
        </w:rPr>
      </w:pPr>
    </w:p>
    <w:p>
      <w:pPr>
        <w:ind w:left="1680" w:hanging="375"/>
        <w:spacing w:after="0"/>
        <w:tabs>
          <w:tab w:leader="none" w:pos="168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Closing Date Borrowing</w:t>
      </w:r>
      <w:r>
        <w:rPr>
          <w:rFonts w:ascii="Times New Roman" w:cs="Times New Roman" w:eastAsia="Times New Roman" w:hAnsi="Times New Roman"/>
          <w:sz w:val="18"/>
          <w:szCs w:val="18"/>
          <w:color w:val="auto"/>
        </w:rPr>
        <w:t>. The obligations of the Lenders to make the Term Loan on the Closing Date are subject to each of the following conditions being satisfied on or prior to the Closing Date:</w:t>
      </w:r>
    </w:p>
    <w:p>
      <w:pPr>
        <w:spacing w:after="0" w:line="162" w:lineRule="exact"/>
        <w:rPr>
          <w:sz w:val="20"/>
          <w:szCs w:val="20"/>
          <w:color w:val="auto"/>
        </w:rPr>
      </w:pPr>
    </w:p>
    <w:p>
      <w:pPr>
        <w:jc w:val="both"/>
        <w:ind w:firstLine="1305"/>
        <w:spacing w:after="0" w:line="266" w:lineRule="auto"/>
        <w:tabs>
          <w:tab w:leader="none" w:pos="171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(i) each party thereto either (A) a counterpart of this Agreement signed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8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executed legal opinions of Cravath, Swaine &amp; Moore LLP, special New York counsel to Mylan, in form reasonably satisfactory to the Administrative Agent, and Bradley L. Wideman, Esq., Associate General Counsel Securities to Mylan, in a form reasonably satisfactory to the Administrative Agent. Mylan hereby requests such counsel to deliver such opinion;</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1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customary closing documents and certificates as the Administrative Agent or its counsel may reasonably request relating to the organization, existence and good standing of Mylan, the authorization of the Transactions and any other legal matters relating to Mylan, the Loan Documents or the Transactions, all in form and substance reasonably satisfactory to the Administrative Agent and its counsel;</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reasonably satisfactory to it that substantially concurrently with the making of the Term Loan hereunder, all Indebtedness under the Existing Credit Agreement and all other amounts payable hereunder have been paid in full and all commitments to extend credit thereunder shall have terminated;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81" w:right="239" w:bottom="1440" w:gutter="0" w:footer="0" w:header="0"/>
        </w:sectPr>
      </w:pPr>
    </w:p>
    <w:bookmarkStart w:id="360" w:name="page361"/>
    <w:bookmarkEnd w:id="360"/>
    <w:p>
      <w:pPr>
        <w:ind w:right="20" w:firstLine="1305"/>
        <w:spacing w:after="0" w:line="282" w:lineRule="auto"/>
        <w:tabs>
          <w:tab w:leader="none" w:pos="170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attesting to the Solvency of Mylan and its Subsidiaries (taken as a whole) on the Closing Date after giving effect to the Transactions, from a Financial Officer of Mylan;</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on or prior to the Closing Date all documentation and other information reasonably requested in writing by them at least two business days prior to the Closing Date in order to allow the Lenders to comply with the Act;</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9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Arrangers shall have received all fees and other amounts due and payable on or prior to the Closing Date, including, to the extent invoiced, reimbursement or payment of all reasonable out-of-pocket expenses required to be reimbursed or paid by Mylan hereunder;</w:t>
      </w:r>
    </w:p>
    <w:p>
      <w:pPr>
        <w:spacing w:after="0" w:line="176" w:lineRule="exact"/>
        <w:rPr>
          <w:rFonts w:ascii="Times New Roman" w:cs="Times New Roman" w:eastAsia="Times New Roman" w:hAnsi="Times New Roman"/>
          <w:sz w:val="18"/>
          <w:szCs w:val="18"/>
          <w:color w:val="auto"/>
        </w:rPr>
      </w:pPr>
    </w:p>
    <w:p>
      <w:pPr>
        <w:ind w:firstLine="1305"/>
        <w:spacing w:after="0" w:line="282" w:lineRule="auto"/>
        <w:tabs>
          <w:tab w:leader="none" w:pos="1782"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Notes executed by Mylan in favor of each Lender requesting Notes at least three Business Days prior to the Closing Date;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55" w:lineRule="auto"/>
        <w:tabs>
          <w:tab w:leader="none" w:pos="1803"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signed by a Responsible Officer of Mylan certifying (A) that the representations and warranties of the Company set forth in this Agreement and the other Loan Documents are be true and correct in all material respects (except that any representation and warranty that is qualified by materiality shall be true and correct in all respects) on the Closing Date, both before and after giving effect to the funding of the Term Loan on the Closing Date, (B) that no Default or Event of Default shall have occurred or would occur and be continuing, both before and after giving effect to the funding of the Term Loan on the Closing Date and (C) that there has been no event or circumstance since the date of the audited financial statements that has had or could be reasonably expected to have, either individually or in the aggregate, a Material Adverse Effect.</w:t>
      </w:r>
    </w:p>
    <w:p>
      <w:pPr>
        <w:spacing w:after="0" w:line="189" w:lineRule="exact"/>
        <w:rPr>
          <w:sz w:val="20"/>
          <w:szCs w:val="20"/>
          <w:color w:val="auto"/>
        </w:rPr>
      </w:pPr>
    </w:p>
    <w:p>
      <w:pPr>
        <w:jc w:val="both"/>
        <w:ind w:firstLine="1297"/>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the last sentence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the Closing Date until the principal of and interest on the Term Loan and all fees payable hereunder shall have been paid in full, the Company covenants and agrees with the Lenders that: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Company will furnish to the Administrative Agent (who shall promptly furnish a copy to each Lender):</w:t>
      </w:r>
    </w:p>
    <w:p>
      <w:pPr>
        <w:spacing w:after="0" w:line="162" w:lineRule="exact"/>
        <w:rPr>
          <w:sz w:val="20"/>
          <w:szCs w:val="20"/>
          <w:color w:val="auto"/>
        </w:rPr>
      </w:pPr>
    </w:p>
    <w:p>
      <w:pPr>
        <w:ind w:right="20" w:firstLine="1305"/>
        <w:spacing w:after="0" w:line="282" w:lineRule="auto"/>
        <w:tabs>
          <w:tab w:leader="none" w:pos="1703"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ninety (90) days after the end of each fiscal year of the Company, commencing with the fiscal year ending December 31, 2014,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0" w:right="239" w:bottom="1440" w:gutter="0" w:footer="0" w:header="0"/>
        </w:sectPr>
      </w:pPr>
    </w:p>
    <w:bookmarkStart w:id="361" w:name="page362"/>
    <w:bookmarkEnd w:id="361"/>
    <w:p>
      <w:pPr>
        <w:jc w:val="both"/>
        <w:spacing w:after="0" w:line="258" w:lineRule="auto"/>
        <w:rPr>
          <w:sz w:val="20"/>
          <w:szCs w:val="20"/>
          <w:color w:val="auto"/>
        </w:rPr>
      </w:pPr>
      <w:r>
        <w:rPr>
          <w:rFonts w:ascii="Times New Roman" w:cs="Times New Roman" w:eastAsia="Times New Roman" w:hAnsi="Times New Roman"/>
          <w:sz w:val="18"/>
          <w:szCs w:val="18"/>
          <w:color w:val="auto"/>
        </w:rPr>
        <w:t>the audited consolidated balance sheet of the Company and its Consolidated Subsidiaries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Company and its Consolidated Subsidiaries on a consolidated basis in accordance with GAAP;</w:t>
      </w:r>
    </w:p>
    <w:p>
      <w:pPr>
        <w:spacing w:after="0" w:line="184" w:lineRule="exact"/>
        <w:rPr>
          <w:sz w:val="20"/>
          <w:szCs w:val="20"/>
          <w:color w:val="auto"/>
        </w:rPr>
      </w:pPr>
    </w:p>
    <w:p>
      <w:pPr>
        <w:jc w:val="both"/>
        <w:ind w:firstLine="1305"/>
        <w:spacing w:after="0" w:line="255" w:lineRule="auto"/>
        <w:tabs>
          <w:tab w:leader="none" w:pos="172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forty-five (45) days after the end of each of the first three fiscal quarters of each fiscal year of the Company, commencing with the fiscal quarter ending March 30, 2015, the unaudited consolidated balance sheet of the Company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Company and its Consolidated Subsidiaries on a consolidated basis in accordance with GAAP, subject to normal year-end audit adjustments and the absence of footnotes;</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8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by a Financial Officer of the Company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80"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67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annual, quarterly and current reports and proxy statements filed by the Company or any Subsidiary with the SEC, or any Governmental Authority succeeding to any or all of the functions of the SEC; and</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Company or any Subsidiary, or compliance with the terms of this Agreement, as the Administrative Agent or any Lender (through the Administrative Agent) may reasonably request.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and other information required to be delivered pursuant to Sections 5.01(a), 5.01(b) and 5.01(e) shall be deemed to have been delivered if such statements and information shall have been posted by the Company on its website or shall have been posted on IntraLinks or similar site to which all of the Lenders have been granted access or are publicly available on the SEC’s website pursuant to the EDGAR system.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80" w:right="239" w:bottom="1440" w:gutter="0" w:footer="0" w:header="0"/>
        </w:sectPr>
      </w:pPr>
    </w:p>
    <w:bookmarkStart w:id="362" w:name="page363"/>
    <w:bookmarkEnd w:id="3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that (a) the Administrative Agent will make available information to the Lenders by posting such information on DebtDomain, IntraLinks, Syndtrak, ClearPar, or similar electronic means and (b) certain of the Lenders may be “public side” Lenders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Lenders that do not wish to receive material non-public information with respect to the Company, its Subsidiaries or their securities)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The Company agrees to identify that portion of the information to be provided to Public Lenders hereunder as “PUBLIC” and that such information will not contain material non-public information relating to the Company or its Subsidiaries (or any of their securities).</w:t>
      </w:r>
    </w:p>
    <w:p>
      <w:pPr>
        <w:spacing w:after="0" w:line="184"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Company will furnish to the Administrative Agent (for prompt notification to each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 (but in any event within five (5) Business Days) written notice after any Financial Officer of the Company obtains knowledge of the following:</w:t>
      </w:r>
    </w:p>
    <w:p>
      <w:pPr>
        <w:spacing w:after="0" w:line="207" w:lineRule="exact"/>
        <w:rPr>
          <w:sz w:val="20"/>
          <w:szCs w:val="20"/>
          <w:color w:val="auto"/>
        </w:rPr>
      </w:pPr>
    </w:p>
    <w:p>
      <w:pPr>
        <w:ind w:left="1680" w:hanging="375"/>
        <w:spacing w:after="0"/>
        <w:tabs>
          <w:tab w:leader="none" w:pos="168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continuing Default;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92"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Company or any Subsidiary thereof that could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4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a Material Adverse Effect.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Company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could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 that is not otherwise prohibited under Section 6.03.</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Company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Company or such Subsidiary has set aside on its books reserves with respect thereto to the extent required by GAAP or (b) the failure to make payment could not reasonably be expected to, individually or in the aggregate, result in a Material Adverse Effect.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The Company will, and will cause each of its Material Subsidiaries to, (a) keep and maintain all Property material to the conduct of its business in good working order and condition, ordinary wear and tear excepted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363" w:name="page364"/>
    <w:bookmarkEnd w:id="363"/>
    <w:p>
      <w:pPr>
        <w:jc w:val="both"/>
        <w:spacing w:after="0" w:line="266" w:lineRule="auto"/>
        <w:rPr>
          <w:sz w:val="20"/>
          <w:szCs w:val="20"/>
          <w:color w:val="auto"/>
        </w:rPr>
      </w:pPr>
      <w:r>
        <w:rPr>
          <w:rFonts w:ascii="Times New Roman" w:cs="Times New Roman" w:eastAsia="Times New Roman" w:hAnsi="Times New Roman"/>
          <w:sz w:val="18"/>
          <w:szCs w:val="18"/>
          <w:color w:val="auto"/>
        </w:rPr>
        <w:t>and casualty or condemnation excepted, except if the failure to do so could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The Company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Company, all at such reasonable times and as often as reasonably requested and in all cases subject to applicable Law and the terms of applicable confidentiality agreements and to the extent the Company reasonably determines that such inspection, examination or discussion will not violate or result in the waiver of any attorney-client privilege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Company the opportunity to participate in any discussions with the Company’s independent accountants.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will, and will cause each of its Subsidiaries to, comply with all laws, rules, regulations and orders of any Governmental Authority applicable to it or its property (including Environmental Laws), except where the failure to do so, individually or in the aggregate, could not reasonably be expected to result in a Material Adverse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Term Loans will be used to finance the working capital needs, and for general corporate purposes (including refinancing of existing Indebtedness, acquisitions and other investments), of the Company and its Subsidiaries. No part of the proceeds of the Term Loan will be used, whether directly or indirectly, for any purpose that entails a violation of any of the Regulations of the Board, including Regulations T, U and X.</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5.09</w:t>
      </w:r>
      <w:r>
        <w:rPr>
          <w:sz w:val="20"/>
          <w:szCs w:val="20"/>
          <w:color w:val="auto"/>
        </w:rPr>
        <w:tab/>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6" w:lineRule="auto"/>
        <w:tabs>
          <w:tab w:leader="none" w:pos="168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consummation of the Specified Acquisition Transaction, in the event that any Domestic Subsidiary of Mylan incurs (as co-borrower or co-issuer with Mylan) or guarantees any Indebtedness of Mylan owed to a Person other than a Subsidiary in excess of an aggregate principal amount of $350,000,000 for all such Indebtedness of such Subsidiary, then Mylan shall cause each such Subsidiary to Guarantee the Obligations in favor of the Administrative Agent for the benefit of the Administrative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Administrative Agent receives evidence reasonably satisfactory to it that any such Guarantor has been released from such obligations of Mylan in excess of an aggregate principal amount of $350,000,000 for all such Indebtedness of such Subsidiary, then at the request of the Company, such Guarantor shall be released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80" w:right="239" w:bottom="1440" w:gutter="0" w:footer="0" w:header="0"/>
        </w:sectPr>
      </w:pPr>
    </w:p>
    <w:bookmarkStart w:id="364" w:name="page365"/>
    <w:bookmarkEnd w:id="364"/>
    <w:p>
      <w:pPr>
        <w:jc w:val="both"/>
        <w:spacing w:after="0" w:line="266" w:lineRule="auto"/>
        <w:rPr>
          <w:sz w:val="20"/>
          <w:szCs w:val="20"/>
          <w:color w:val="auto"/>
        </w:rPr>
      </w:pPr>
      <w:r>
        <w:rPr>
          <w:rFonts w:ascii="Times New Roman" w:cs="Times New Roman" w:eastAsia="Times New Roman" w:hAnsi="Times New Roman"/>
          <w:sz w:val="18"/>
          <w:szCs w:val="18"/>
          <w:color w:val="auto"/>
        </w:rPr>
        <w:t>Guarantee Agreement (and for the avoidance of doubt, such release shall not require the approval of the Lenders) so long as at the time of and after giving effect to such release, all of such Subsidiary’s then outstanding Indebtedness would then be permitted to be incurred at such time under Section 6.01 (treating, for this purpose, all Indebtedness of such Subsidiary as being incurred at the time of such release).</w:t>
      </w:r>
    </w:p>
    <w:p>
      <w:pPr>
        <w:spacing w:after="0" w:line="176" w:lineRule="exact"/>
        <w:rPr>
          <w:sz w:val="20"/>
          <w:szCs w:val="20"/>
          <w:color w:val="auto"/>
        </w:rPr>
      </w:pPr>
    </w:p>
    <w:p>
      <w:pPr>
        <w:ind w:left="1700" w:hanging="395"/>
        <w:spacing w:after="0"/>
        <w:tabs>
          <w:tab w:leader="none" w:pos="17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Specified Acquisition Transaction:</w:t>
      </w:r>
    </w:p>
    <w:p>
      <w:pPr>
        <w:spacing w:after="0" w:line="225" w:lineRule="exact"/>
        <w:rPr>
          <w:rFonts w:ascii="Times New Roman" w:cs="Times New Roman" w:eastAsia="Times New Roman" w:hAnsi="Times New Roman"/>
          <w:sz w:val="18"/>
          <w:szCs w:val="18"/>
          <w:color w:val="auto"/>
        </w:rPr>
      </w:pPr>
    </w:p>
    <w:p>
      <w:pPr>
        <w:jc w:val="both"/>
        <w:ind w:firstLine="1953"/>
        <w:spacing w:after="0" w:line="255" w:lineRule="auto"/>
        <w:tabs>
          <w:tab w:leader="none" w:pos="239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New Mylan is not designated as either (x) a Designated Borrower pursuant to Section 2.21 or (y) a Successor Borrower, New Mylan shall substantially concurrently with the consummation of the Specified Acquisition Transaction, Guarantee the Obligations in favor of the Administrative Agent for the benefit of the Administrative Agent and the Lenders and shall deliver to the Administrative Agent (A) a joinder to this Agreement in the form attached as Exhibit I, (B) all documents and other information reasonably requested by the Lenders in order to allow the Lenders to comply with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and</w:t>
      </w:r>
    </w:p>
    <w:p>
      <w:pPr>
        <w:spacing w:after="0" w:line="189" w:lineRule="exact"/>
        <w:rPr>
          <w:rFonts w:ascii="Times New Roman" w:cs="Times New Roman" w:eastAsia="Times New Roman" w:hAnsi="Times New Roman"/>
          <w:sz w:val="18"/>
          <w:szCs w:val="18"/>
          <w:color w:val="auto"/>
        </w:rPr>
      </w:pPr>
    </w:p>
    <w:p>
      <w:pPr>
        <w:jc w:val="both"/>
        <w:ind w:firstLine="1953"/>
        <w:spacing w:after="0" w:line="252" w:lineRule="auto"/>
        <w:tabs>
          <w:tab w:leader="none" w:pos="235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Subsidiary of New Mylan incurs (as co-borrower or co-issuer with Mylan or New Mylan, as applicable) or guarantees any Indebtedness of Mylan or New Mylan, as applicable, owed to a Person other than Mylan, New Mylan or any Subsidiary, in excess of an aggregate principal amount of $350,000,000 for all such Indebtedness of such Subsidiary with respect to Mylan or New Mylan, then New Mylan shall cause each such Subsidiary to Guarantee the Obligations in favor of the Administrative Agent for the benefit of the Administrative Agent and the Lenders and shall cause each such Subsidiary to deliver to the Administrative Agent (A) a joinder to this Agreement in the form attached as Exhibit I, (B) all documents and other information reasonably requested by the Lenders in order to allow the Lenders to comply with the Act,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(i) Mylan and New Mylan are not each a Borrower under this Agreement (either Mylan or New Mylan, as applicable, that is not then a Borrower, the “Non-Borrower Party”) and (ii) the applicable Indebtedness guaranteed by such Subsidiary is only of the Non-Borrower Party, such Subsidiary shall not be required to guarantee the Obligations if New Mylan reasonably determines that such Guarantee is prohibited by, or would be unduly burdensome under, applicable Laws or would result in an adverse tax consequence to New Mylan or any of its Subsidiaries (it being understood that any such guarantee of Indebtedness by such Subsidiary shall be subject to the provisions of Section 6.01 of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event that the Administrative Agent receives evidence reasonably satisfactory to it that any such Guarantor has been released from such obligations in excess of an aggregate principal amount of $350,000,000 for all such Indebtedness of such Subsidiary, then at the request of the Company, such Guarantor shall be released from the Guarantee Agreement (and for the avoidance of doubt, such release shall not require the approval of the Lenders) so long as at the time of and after giving effect to such release, all of such Guarantor’s then outstanding Indebtedness would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80" w:right="239" w:bottom="1440" w:gutter="0" w:footer="0" w:header="0"/>
        </w:sectPr>
      </w:pPr>
    </w:p>
    <w:bookmarkStart w:id="365" w:name="page366"/>
    <w:bookmarkEnd w:id="365"/>
    <w:p>
      <w:pPr>
        <w:ind w:right="20"/>
        <w:spacing w:after="0" w:line="282" w:lineRule="auto"/>
        <w:rPr>
          <w:sz w:val="20"/>
          <w:szCs w:val="20"/>
          <w:color w:val="auto"/>
        </w:rPr>
      </w:pPr>
      <w:r>
        <w:rPr>
          <w:rFonts w:ascii="Times New Roman" w:cs="Times New Roman" w:eastAsia="Times New Roman" w:hAnsi="Times New Roman"/>
          <w:sz w:val="18"/>
          <w:szCs w:val="18"/>
          <w:color w:val="auto"/>
        </w:rPr>
        <w:t>be permitted to be incurred at such time under Section 6.01 (other than, in the case of Mylan, Section 6.01(p)) (treating, for this purpose, all Indebtedness of such Guarantor as being incurred at the time of such release).</w:t>
      </w:r>
    </w:p>
    <w:p>
      <w:pPr>
        <w:spacing w:after="0" w:line="162" w:lineRule="exact"/>
        <w:rPr>
          <w:sz w:val="20"/>
          <w:szCs w:val="20"/>
          <w:color w:val="auto"/>
        </w:rPr>
      </w:pPr>
    </w:p>
    <w:p>
      <w:pPr>
        <w:jc w:val="both"/>
        <w:ind w:firstLine="1305"/>
        <w:spacing w:after="0" w:line="261" w:lineRule="auto"/>
        <w:tabs>
          <w:tab w:leader="none" w:pos="172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release provisions in Section 5.09(b)(ii), concurrently with the release of Mylan from its obligations as a “Borrower” under this Agreement pursuant to Section 2.23, Mylan shall Guarantee the Obligations in favor of the Administrative Agent for the benefit of the Administrative Agent and the Lenders and shall constitute a “Guarantor” for all purposes under this Agreement and shall deliver an affirmation agreement and such other documentation in connection with such Guarantee as may be otherwise required under applicable Laws.</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0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subject to the release provided in Section 5.09(c), Mylan will, at all times, be a Loan Party under this Agreement and (ii) following the consummation of the Specified Acquisition Transaction, New Mylan will at all times be a Loan Party under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the Closing Date until the principal of and interest on the Term Loan and all fees payable hereunder have been paid in full, the Company covenants and agrees with the Lenders that: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Company will not permit any Subsidiary that is not a Loan Party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07" w:lineRule="exact"/>
        <w:rPr>
          <w:sz w:val="20"/>
          <w:szCs w:val="20"/>
          <w:color w:val="auto"/>
        </w:rPr>
      </w:pPr>
    </w:p>
    <w:p>
      <w:pPr>
        <w:ind w:left="1680" w:hanging="375"/>
        <w:spacing w:after="0"/>
        <w:tabs>
          <w:tab w:leader="none" w:pos="168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4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that could be incurred on the Closing Date pursuant to commitments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Permitted Refinancing Indebtedness in respect of Indebtedness permitted by this clause (b);</w:t>
      </w:r>
    </w:p>
    <w:p>
      <w:pPr>
        <w:spacing w:after="0" w:line="161" w:lineRule="exact"/>
        <w:rPr>
          <w:rFonts w:ascii="Times New Roman" w:cs="Times New Roman" w:eastAsia="Times New Roman" w:hAnsi="Times New Roman"/>
          <w:sz w:val="18"/>
          <w:szCs w:val="18"/>
          <w:color w:val="auto"/>
        </w:rPr>
      </w:pPr>
    </w:p>
    <w:p>
      <w:pPr>
        <w:jc w:val="both"/>
        <w:ind w:right="20" w:firstLine="1305"/>
        <w:spacing w:after="0" w:line="266" w:lineRule="auto"/>
        <w:tabs>
          <w:tab w:leader="none" w:pos="170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any Subsidiary that is not a Loan Party owing to (x) a Loan Party or (y) any other Subsidiary; and (ii) Guarantees of Indebtedness of any other Subsidiary that is not a Loan Party by any other Subsidiary, to the extent such Indebtedness is otherwise permitted under this Agreement;</w:t>
      </w:r>
    </w:p>
    <w:p>
      <w:pPr>
        <w:spacing w:after="0" w:line="17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3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exceed the greater of (x) $150,000,000 and (y) 1.05% of Consolidated Total Assets, determined as of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0" w:right="239" w:bottom="1440" w:gutter="0" w:footer="0" w:header="0"/>
        </w:sectPr>
      </w:pPr>
    </w:p>
    <w:bookmarkStart w:id="366" w:name="page367"/>
    <w:bookmarkEnd w:id="366"/>
    <w:p>
      <w:pPr>
        <w:spacing w:after="0" w:line="282" w:lineRule="auto"/>
        <w:rPr>
          <w:sz w:val="20"/>
          <w:szCs w:val="20"/>
          <w:color w:val="auto"/>
        </w:rPr>
      </w:pPr>
      <w:r>
        <w:rPr>
          <w:rFonts w:ascii="Times New Roman" w:cs="Times New Roman" w:eastAsia="Times New Roman" w:hAnsi="Times New Roman"/>
          <w:sz w:val="18"/>
          <w:szCs w:val="18"/>
          <w:color w:val="auto"/>
        </w:rPr>
        <w:t>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62" w:lineRule="exact"/>
        <w:rPr>
          <w:sz w:val="20"/>
          <w:szCs w:val="20"/>
          <w:color w:val="auto"/>
        </w:rPr>
      </w:pPr>
    </w:p>
    <w:p>
      <w:pPr>
        <w:jc w:val="both"/>
        <w:ind w:firstLine="1305"/>
        <w:spacing w:after="0" w:line="261" w:lineRule="auto"/>
        <w:tabs>
          <w:tab w:leader="none" w:pos="169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0" w:lineRule="exact"/>
        <w:rPr>
          <w:rFonts w:ascii="Times New Roman" w:cs="Times New Roman" w:eastAsia="Times New Roman" w:hAnsi="Times New Roman"/>
          <w:sz w:val="18"/>
          <w:szCs w:val="18"/>
          <w:color w:val="auto"/>
        </w:rPr>
      </w:pPr>
    </w:p>
    <w:p>
      <w:pPr>
        <w:jc w:val="both"/>
        <w:ind w:firstLine="1305"/>
        <w:spacing w:after="0" w:line="282" w:lineRule="auto"/>
        <w:tabs>
          <w:tab w:leader="none" w:pos="165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Attributable Receivables Indebtedness thereunder shall not exceed at any time outstanding (x) $600,000,000, in the case of all Domestic Subsidiaries and (y) $250,000,000, in the case of all other Subsidiaries;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Swap Agreements entered into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76"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judgments, decrees, attachments or awards that do not constitute an Event of Default under clause (k)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61"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4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denominated in currencies other than Dollars in an aggregate amount outstanding not to exceed the greater of the foreign currency equivalent of (x) $125,000,000 and (y) 0.85% of Consolidated Total Assets, determined as of the last day of the most recent fiscal quarter prior to the date such Indebtedness is incurred for which financial statements have been delivered pursuant to Section 5.01(a) or (b);</w:t>
      </w:r>
    </w:p>
    <w:p>
      <w:pPr>
        <w:spacing w:after="0" w:line="17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card obligations, netting services, overdraft protections and similar arrangements in each case in connection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deposit accounts;</w:t>
      </w:r>
    </w:p>
    <w:p>
      <w:pPr>
        <w:spacing w:after="0" w:line="206" w:lineRule="exact"/>
        <w:rPr>
          <w:rFonts w:ascii="Times New Roman" w:cs="Times New Roman" w:eastAsia="Times New Roman" w:hAnsi="Times New Roman"/>
          <w:sz w:val="18"/>
          <w:szCs w:val="18"/>
          <w:color w:val="auto"/>
        </w:rPr>
      </w:pPr>
    </w:p>
    <w:p>
      <w:pPr>
        <w:ind w:firstLine="1305"/>
        <w:spacing w:after="0" w:line="282" w:lineRule="auto"/>
        <w:tabs>
          <w:tab w:leader="none" w:pos="174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(x) the financing of insurance premiums with the providers of such insurance or their affiliates or (y)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Jurisdiction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80" w:right="239" w:bottom="1440" w:gutter="0" w:footer="0" w:header="0"/>
        </w:sectPr>
      </w:pPr>
    </w:p>
    <w:bookmarkStart w:id="367" w:name="page368"/>
    <w:bookmarkEnd w:id="367"/>
    <w:p>
      <w:pPr>
        <w:jc w:val="both"/>
        <w:ind w:firstLine="1305"/>
        <w:spacing w:after="0" w:line="256" w:lineRule="auto"/>
        <w:tabs>
          <w:tab w:leader="none" w:pos="170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$900,000,000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87" w:lineRule="exact"/>
        <w:rPr>
          <w:rFonts w:ascii="Times New Roman" w:cs="Times New Roman" w:eastAsia="Times New Roman" w:hAnsi="Times New Roman"/>
          <w:sz w:val="18"/>
          <w:szCs w:val="18"/>
          <w:color w:val="auto"/>
        </w:rPr>
      </w:pPr>
    </w:p>
    <w:p>
      <w:pPr>
        <w:jc w:val="both"/>
        <w:ind w:right="20" w:firstLine="1305"/>
        <w:spacing w:after="0" w:line="261" w:lineRule="auto"/>
        <w:tabs>
          <w:tab w:leader="none" w:pos="169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 Person existing at the time such Person becomes a Subsidiary and not created in contemplation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acquisition of such Person, on a Pro Forma Basis, the Borrowers would be in compliance with Section 6.07 as of the last day of the most recent fiscal year or fiscal quarter for which financial statements have been delivered pursuant to Section 5.01(a) or 5.10(b) and (ii) any Permitted Refinancing Indebtedness in respect of Indebtedness permitted by this clause (p);</w:t>
      </w:r>
    </w:p>
    <w:p>
      <w:pPr>
        <w:spacing w:after="0" w:line="180" w:lineRule="exact"/>
        <w:rPr>
          <w:rFonts w:ascii="Times New Roman" w:cs="Times New Roman" w:eastAsia="Times New Roman" w:hAnsi="Times New Roman"/>
          <w:sz w:val="18"/>
          <w:szCs w:val="18"/>
          <w:color w:val="auto"/>
        </w:rPr>
      </w:pPr>
    </w:p>
    <w:p>
      <w:pPr>
        <w:ind w:right="20" w:firstLine="1305"/>
        <w:spacing w:after="0" w:line="282" w:lineRule="auto"/>
        <w:tabs>
          <w:tab w:leader="none" w:pos="177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under the Revolving Credit Agreement, in a principal amount not to exceed the face amount of such letter of credit;</w:t>
      </w:r>
    </w:p>
    <w:p>
      <w:pPr>
        <w:spacing w:after="0" w:line="161"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Investments permitted by Section 6.05(q);</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(r) above; and</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6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by operation of Law as a result of the existence of a fiscal unity (fiscale eenheid) for Dutch tax purposes of which any Subsidiary is or has been a member.</w:t>
      </w:r>
    </w:p>
    <w:p>
      <w:pPr>
        <w:spacing w:after="0" w:line="162"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Company will not, and will not permit any Subsidiary to, create, incur, assume or permit to exist any Lien on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now owned or hereafter acquired by it, except:</w:t>
      </w:r>
    </w:p>
    <w:p>
      <w:pPr>
        <w:spacing w:after="0" w:line="207" w:lineRule="exact"/>
        <w:rPr>
          <w:sz w:val="20"/>
          <w:szCs w:val="20"/>
          <w:color w:val="auto"/>
        </w:rPr>
      </w:pPr>
    </w:p>
    <w:p>
      <w:pPr>
        <w:ind w:left="1680" w:hanging="375"/>
        <w:spacing w:after="0"/>
        <w:tabs>
          <w:tab w:leader="none" w:pos="16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5"/>
        <w:spacing w:after="0" w:line="258" w:lineRule="auto"/>
        <w:tabs>
          <w:tab w:leader="none" w:pos="175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of the Company or any Subsidiary existing on the Closing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of the Company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83" w:lineRule="exact"/>
        <w:rPr>
          <w:rFonts w:ascii="Times New Roman" w:cs="Times New Roman" w:eastAsia="Times New Roman" w:hAnsi="Times New Roman"/>
          <w:sz w:val="18"/>
          <w:szCs w:val="18"/>
          <w:color w:val="auto"/>
        </w:rPr>
      </w:pPr>
    </w:p>
    <w:p>
      <w:pPr>
        <w:ind w:firstLine="1305"/>
        <w:spacing w:after="0" w:line="282" w:lineRule="auto"/>
        <w:tabs>
          <w:tab w:leader="none" w:pos="167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prior to the acquisition thereof by the Company or any Subsidiary or existing on any Property of any Person that becomes a Subsidiary after the Closing Date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80" w:right="239" w:bottom="1440" w:gutter="0" w:footer="0" w:header="0"/>
        </w:sectPr>
      </w:pPr>
    </w:p>
    <w:bookmarkStart w:id="368" w:name="page369"/>
    <w:bookmarkEnd w:id="368"/>
    <w:p>
      <w:pPr>
        <w:jc w:val="both"/>
        <w:spacing w:after="0" w:line="258" w:lineRule="auto"/>
        <w:rPr>
          <w:sz w:val="20"/>
          <w:szCs w:val="20"/>
          <w:color w:val="auto"/>
        </w:rPr>
      </w:pPr>
      <w:r>
        <w:rPr>
          <w:rFonts w:ascii="Times New Roman" w:cs="Times New Roman" w:eastAsia="Times New Roman" w:hAnsi="Times New Roman"/>
          <w:sz w:val="18"/>
          <w:szCs w:val="18"/>
          <w:color w:val="auto"/>
        </w:rPr>
        <w:t>Lien is not created in contemplation of or in connection with such acquisition or such Person becoming a Subsidiary, as the case may be, (ii) such Lien shall not apply to any other Property of the Company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84" w:lineRule="exact"/>
        <w:rPr>
          <w:sz w:val="20"/>
          <w:szCs w:val="20"/>
          <w:color w:val="auto"/>
        </w:rPr>
      </w:pPr>
    </w:p>
    <w:p>
      <w:pPr>
        <w:jc w:val="both"/>
        <w:ind w:firstLine="1305"/>
        <w:spacing w:after="0" w:line="254" w:lineRule="auto"/>
        <w:tabs>
          <w:tab w:leader="none" w:pos="1705"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fixed or capital assets acquired, constructed, repaired, replaced or improved by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incurred to fund the acquisition of such assets in an aggregate principal amount not to exceed the greater of $150,000,000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Company or any Subsidiary, except for accessions to such fixed or capital assets covered by such Lien, Property financed by such Indebtedness and the proceeds and products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fixed or capital assets provided by one lender may be cross-collateralized to other financings of fixed or capital assets provided by such lender;</w:t>
      </w:r>
    </w:p>
    <w:p>
      <w:pPr>
        <w:spacing w:after="0" w:line="18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9"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7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Receivables and Permitted Receivables Facility Assets securing Indebtedness arising under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$600,000,000, in the case of all Domestic Subsidiaries and (y) $250,000,000, in the case of all other Subsidiaries;</w:t>
      </w:r>
    </w:p>
    <w:p>
      <w:pPr>
        <w:spacing w:after="0" w:line="180"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“earnest money” or similar deposits or other cash advances in connection with acquisitions permitted by Section 6.05 or</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9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an agreement to dispose of any Property in a disposition permitted under this Agreement including customary rights and restrictions contained in such agreements;</w:t>
      </w:r>
    </w:p>
    <w:p>
      <w:pPr>
        <w:spacing w:after="0" w:line="17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assets securing Indebtedness permitted by Section 6.01(g);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369" w:name="page370"/>
    <w:bookmarkEnd w:id="369"/>
    <w:p>
      <w:pPr>
        <w:ind w:firstLine="1305"/>
        <w:spacing w:after="0" w:line="282" w:lineRule="auto"/>
        <w:tabs>
          <w:tab w:leader="none" w:pos="1668"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in the ordinary course of business which do not (i) interfere in any material respect with the business of the Company or any Subsidiary or (ii) secure any Indebtedness;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5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Uniform Commercial Code on items in the course of collection and</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31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79" w:lineRule="exact"/>
        <w:rPr>
          <w:rFonts w:ascii="Times New Roman" w:cs="Times New Roman" w:eastAsia="Times New Roman" w:hAnsi="Times New Roman"/>
          <w:sz w:val="18"/>
          <w:szCs w:val="18"/>
          <w:color w:val="auto"/>
        </w:rPr>
      </w:pPr>
    </w:p>
    <w:p>
      <w:pPr>
        <w:ind w:firstLine="1305"/>
        <w:spacing w:after="0" w:line="282" w:lineRule="auto"/>
        <w:tabs>
          <w:tab w:leader="none" w:pos="164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a Loan Party 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permitted under Section 6.05;</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0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relating to purchase orders and other agreements entered into with customers of the Company or any Subsidiary in the ordinary course of business;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69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Company or any of its Subsidiaries are located and other Liens affecting the interest of any landlord (and any underlying landlord) of any real property leased by the Company or any Subsidiary;</w:t>
      </w:r>
    </w:p>
    <w:p>
      <w:pPr>
        <w:spacing w:after="0" w:line="161" w:lineRule="exact"/>
        <w:rPr>
          <w:rFonts w:ascii="Times New Roman" w:cs="Times New Roman" w:eastAsia="Times New Roman" w:hAnsi="Times New Roman"/>
          <w:sz w:val="18"/>
          <w:szCs w:val="18"/>
          <w:color w:val="auto"/>
        </w:rPr>
      </w:pPr>
    </w:p>
    <w:p>
      <w:pPr>
        <w:ind w:right="20" w:firstLine="1305"/>
        <w:spacing w:after="0" w:line="282" w:lineRule="auto"/>
        <w:tabs>
          <w:tab w:leader="none" w:pos="172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owned by the Company or any Subsidiary and located on the premises of any supplier and used in the ordinary course of business and not securing Indebtedness;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encumbrance with respect to the pledge or transfer of the Equity Interests of a joint venture;</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not otherwise permitted by this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 (r) 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$900,000,000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87"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the Company or any Subsidiary in favor of the Company or any other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80" w:right="239" w:bottom="1440" w:gutter="0" w:footer="0" w:header="0"/>
        </w:sectPr>
      </w:pPr>
    </w:p>
    <w:bookmarkStart w:id="370" w:name="page371"/>
    <w:bookmarkEnd w:id="370"/>
    <w:p>
      <w:pPr>
        <w:ind w:firstLine="1305"/>
        <w:spacing w:after="0" w:line="282" w:lineRule="auto"/>
        <w:tabs>
          <w:tab w:leader="none" w:pos="174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61" w:lineRule="exact"/>
        <w:rPr>
          <w:rFonts w:ascii="Times New Roman" w:cs="Times New Roman" w:eastAsia="Times New Roman" w:hAnsi="Times New Roman"/>
          <w:sz w:val="18"/>
          <w:szCs w:val="18"/>
          <w:color w:val="auto"/>
        </w:rPr>
      </w:pPr>
    </w:p>
    <w:p>
      <w:pPr>
        <w:ind w:firstLine="1305"/>
        <w:spacing w:after="0" w:line="282" w:lineRule="auto"/>
        <w:tabs>
          <w:tab w:leader="none" w:pos="170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financing statement filings regarding operating leases or consignments entered into by the Company and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to secure liability to insurance carriers;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6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insurance premiums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unpaid insurance premiums under the insurance policy related to such insurance premium financing arrangement;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Equivalents deposited as cash collateral on letters of credit as contemplated by the Revolving Credit Agreement;</w:t>
      </w:r>
    </w:p>
    <w:p>
      <w:pPr>
        <w:spacing w:after="0" w:line="225"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any Subsidiary that is not a Loan Party securing Indebtedness of such Subsidiary that is otherwise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6.01;</w:t>
      </w:r>
    </w:p>
    <w:p>
      <w:pPr>
        <w:spacing w:after="0" w:line="206"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3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Person formed for the purposes of engaging in activities in the renewable energy sector (including refined coal) that qualify for federal tax benefits allocable to the Company and its Subsidiaries in which the Company or any Subsidiary has made an investment and Liens on the rights of the Company and its Subsidiaries under any agreement relating to any such investment; and</w:t>
      </w:r>
    </w:p>
    <w:p>
      <w:pPr>
        <w:spacing w:after="0" w:line="174" w:lineRule="exact"/>
        <w:rPr>
          <w:sz w:val="20"/>
          <w:szCs w:val="20"/>
          <w:color w:val="auto"/>
        </w:rPr>
      </w:pPr>
    </w:p>
    <w:p>
      <w:pPr>
        <w:ind w:firstLine="1305"/>
        <w:spacing w:after="0" w:line="284" w:lineRule="auto"/>
        <w:tabs>
          <w:tab w:leader="none" w:pos="176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including any netting or set-off, arising by operation of Law as a result of the existence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of which any Subsidiary is or has been a member.</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No Borrower will merge into or consolidate with or transfer all or substantially all of its assets to any other Person, or permit any other Person to merge into or consolidate with it, or liquidate or dissolve, except that,</w:t>
      </w:r>
    </w:p>
    <w:p>
      <w:pPr>
        <w:spacing w:after="0" w:line="162" w:lineRule="exact"/>
        <w:rPr>
          <w:sz w:val="20"/>
          <w:szCs w:val="20"/>
          <w:color w:val="auto"/>
        </w:rPr>
      </w:pPr>
    </w:p>
    <w:p>
      <w:pPr>
        <w:jc w:val="both"/>
        <w:ind w:firstLine="1305"/>
        <w:spacing w:after="0" w:line="255" w:lineRule="auto"/>
        <w:tabs>
          <w:tab w:leader="none" w:pos="1763"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thereof and immediately after giving effect thereto no Event of Default shall have occurred and be continuing, any Borrower may be consolidated with or merged into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in connection therewith is otherwise permitted by Section 6.05;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simultaneously with such transaction, (x) the Person formed by such consolidation or into which a Borrower is merged shall expressly assume all obligations of such Borrower under the Loan Documents, (y) the Person formed by such consolidation or into which a Borrower is merged shall be a corporation organized under the laws of either (x) a State in the United States, (y) the jurisdiction of organization of such Borrower or (z) a Permitted Jurisdiction (provided, that, at such time, each Lender shall be permitted under applicable Laws and shall be licensed to maintain the Term Loan at such Person in such Permitted Jurisdiction in accordance with the terms of this Agreement and the other Loan Documents) and shall take all actions as may be required to preserve the enforceability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80" w:right="239" w:bottom="1440" w:gutter="0" w:footer="0" w:header="0"/>
        </w:sectPr>
      </w:pPr>
    </w:p>
    <w:bookmarkStart w:id="371" w:name="page372"/>
    <w:bookmarkEnd w:id="371"/>
    <w:p>
      <w:pPr>
        <w:jc w:val="both"/>
        <w:spacing w:after="0" w:line="282" w:lineRule="auto"/>
        <w:rPr>
          <w:sz w:val="20"/>
          <w:szCs w:val="20"/>
          <w:color w:val="auto"/>
        </w:rPr>
      </w:pPr>
      <w:r>
        <w:rPr>
          <w:rFonts w:ascii="Times New Roman" w:cs="Times New Roman" w:eastAsia="Times New Roman" w:hAnsi="Times New Roman"/>
          <w:sz w:val="18"/>
          <w:szCs w:val="18"/>
          <w:color w:val="auto"/>
        </w:rPr>
        <w:t>Loan Documents and (z) such Borrower shall have delivered to the Administrative Agent an officer’s certificate and an opinion of counsel, each stating that such merger or consolidation and such supplement to this Agreement comply with this Agreement; and</w:t>
      </w:r>
    </w:p>
    <w:p>
      <w:pPr>
        <w:spacing w:after="0" w:line="162"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subject to the other terms and conditions set forth in the Agreement, Mylan may consummate the Specified Acquisition Transaction.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Company will not, and will not permit any of its Subsidiaries to, declare or make, or agree to pay or make, directly or indirectly, any Restricted Payment, except (a) the Company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Company may make Restricted Payments pursuant to and in accordance with stock option plans or other benefit plans for present or former officers, directors, consultants or employees of the Company and its Subsidiaries in an amount not to exceed $20,000,000 in any fiscal year (with any unused amount of such base amount available for use in the next succeeding fiscal year); (d) the Company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Company; (g) payments made to exercise, settle or terminate any Permitted Warrant Transaction (A) by delivery of the Company’s common stock, (B) by set-off against the related Permitted Bond Hedge Transaction, or (C) with cash payments in an aggregate amount not to exceed the aggregate amount of any payments received by the Company or any of its Subsidiaries pursuant to the exercise, settlement or termination of any related Permitted Bond Hedge Transaction, less any cash payments made with respect to any related Permitted Convertible Indebtedness and, in the case of any Permitted Warrant Transaction related to the Cash Convertible Notes, any cash payments made, in each case, to the extent that the aggregate amount of such payments exceeds the stated principal amount of the Cash Convertible Notes; (h) payments made in connection with any Permitted Bond Hedge Transaction; and (i) the Company may make Restricted Payments pursuant to the arrangements set forth in Schedule 6.04.</w:t>
      </w:r>
    </w:p>
    <w:p>
      <w:pPr>
        <w:spacing w:after="0" w:line="19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u w:val="single" w:color="auto"/>
          <w:color w:val="auto"/>
        </w:rPr>
        <w:t>Investments</w:t>
      </w:r>
      <w:r>
        <w:rPr>
          <w:rFonts w:ascii="Times New Roman" w:cs="Times New Roman" w:eastAsia="Times New Roman" w:hAnsi="Times New Roman"/>
          <w:sz w:val="17"/>
          <w:szCs w:val="17"/>
          <w:color w:val="auto"/>
        </w:rPr>
        <w:t>. The Company will not, and will not allow any of its Subsidiaries to make or hold any Investments, except:</w:t>
      </w:r>
    </w:p>
    <w:p>
      <w:pPr>
        <w:spacing w:after="0" w:line="225" w:lineRule="exact"/>
        <w:rPr>
          <w:sz w:val="20"/>
          <w:szCs w:val="20"/>
          <w:color w:val="auto"/>
        </w:rPr>
      </w:pPr>
    </w:p>
    <w:p>
      <w:pPr>
        <w:ind w:left="1680" w:hanging="375"/>
        <w:spacing w:after="0"/>
        <w:tabs>
          <w:tab w:leader="none" w:pos="168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 Subsidiary in cash and Cash Equivalents;</w:t>
      </w:r>
    </w:p>
    <w:p>
      <w:pPr>
        <w:spacing w:after="0" w:line="225" w:lineRule="exact"/>
        <w:rPr>
          <w:rFonts w:ascii="Times New Roman" w:cs="Times New Roman" w:eastAsia="Times New Roman" w:hAnsi="Times New Roman"/>
          <w:sz w:val="18"/>
          <w:szCs w:val="18"/>
          <w:color w:val="auto"/>
        </w:rPr>
      </w:pPr>
    </w:p>
    <w:p>
      <w:pPr>
        <w:jc w:val="both"/>
        <w:ind w:firstLine="1305"/>
        <w:spacing w:after="0" w:line="257" w:lineRule="auto"/>
        <w:tabs>
          <w:tab w:leader="none" w:pos="1802"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officers, directors, consultants and employees of the Company and the Subsidiaries (i) for reasonable and customary business-related travel, entertainment, relocation and analogous ordinary business purposes, (ii) in connection with such Person’s purchase of Equity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loans and advances shall be contributed to the Company in cash as common equity,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80" w:right="23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color w:val="auto"/>
        </w:rPr>
        <w:t>purposes not described in the foregoing subclauses (i) and (ii), in an aggregate principal amount outstanding not to exceed $10,000,000;</w:t>
      </w:r>
    </w:p>
    <w:p>
      <w:pPr>
        <w:spacing w:after="0" w:line="225" w:lineRule="exact"/>
        <w:rPr>
          <w:sz w:val="20"/>
          <w:szCs w:val="20"/>
          <w:color w:val="auto"/>
        </w:rPr>
      </w:pPr>
    </w:p>
    <w:p>
      <w:pPr>
        <w:ind w:left="1680" w:hanging="375"/>
        <w:spacing w:after="0"/>
        <w:tabs>
          <w:tab w:leader="none" w:pos="168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Company or any Subsidiary in the Company or any Subsidiary;</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8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87"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3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or contemplated on the Closing Date and set forth on </w:t>
      </w:r>
      <w:r>
        <w:rPr>
          <w:rFonts w:ascii="Times New Roman" w:cs="Times New Roman" w:eastAsia="Times New Roman" w:hAnsi="Times New Roman"/>
          <w:sz w:val="18"/>
          <w:szCs w:val="18"/>
          <w:u w:val="single" w:color="auto"/>
          <w:color w:val="auto"/>
        </w:rPr>
        <w:t>Schedule 6.05(e)</w:t>
      </w:r>
      <w:r>
        <w:rPr>
          <w:rFonts w:ascii="Times New Roman" w:cs="Times New Roman" w:eastAsia="Times New Roman" w:hAnsi="Times New Roman"/>
          <w:sz w:val="18"/>
          <w:szCs w:val="18"/>
          <w:color w:val="auto"/>
        </w:rPr>
        <w:t xml:space="preserve"> and any modification, replacement, renewal, reinvestment or extension thereof and (ii) Investments existing on the Closing Date by the Company or any Subsidiary in the Company or any other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or as otherwise permitted by this Section 6.05;</w:t>
      </w:r>
    </w:p>
    <w:p>
      <w:pPr>
        <w:spacing w:after="0" w:line="180"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 the ordinary course of business;</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w:t>
      </w:r>
    </w:p>
    <w:p>
      <w:pPr>
        <w:spacing w:after="0" w:line="225" w:lineRule="exact"/>
        <w:rPr>
          <w:rFonts w:ascii="Times New Roman" w:cs="Times New Roman" w:eastAsia="Times New Roman" w:hAnsi="Times New Roman"/>
          <w:sz w:val="18"/>
          <w:szCs w:val="18"/>
          <w:color w:val="auto"/>
        </w:rPr>
      </w:pPr>
    </w:p>
    <w:p>
      <w:pPr>
        <w:ind w:firstLine="1305"/>
        <w:spacing w:after="0" w:line="282" w:lineRule="auto"/>
        <w:tabs>
          <w:tab w:leader="none" w:pos="1803"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6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the Specified Acquisition Transaction (including any Investments held by a Subsidiary acquired in the Specified Acquisition Transaction on the date of such Specified Acquisition Transaction and not made in contemplation of or in connection with the Specified Acquisition Transaction), no Event of Default shall have occurred and be continuing at the time of such Specified Acquisition Transaction, and (ii) with respect to any other Investment, no Event of Default has occurred and is continuing at the time such Investment is made;</w:t>
      </w:r>
    </w:p>
    <w:p>
      <w:pPr>
        <w:spacing w:after="0" w:line="180"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fees or other compensation to officers, directors, consultants or employees,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373" w:name="page374"/>
    <w:bookmarkEnd w:id="373"/>
    <w:p>
      <w:pPr>
        <w:ind w:left="1660" w:hanging="355"/>
        <w:spacing w:after="0"/>
        <w:tabs>
          <w:tab w:leader="none" w:pos="1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 of the Company;</w:t>
      </w:r>
    </w:p>
    <w:p>
      <w:pPr>
        <w:spacing w:after="0" w:line="22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utility and other similar deposits in the ordinary course of business;</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Investments in connection with Permitted Receivables Facilities;</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 which constitute Investments;</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limited liability companies formed for the purposes of engaging in activities in the renewable energy sector (including refined coal) that qualify for Federal tax benefits allocable to the Company and its Subsidiaries, including capital contributions and purchase price payments in respect thereof, so long as the Company determines in good faith that the amount of such tax benefits is expected to exceed the amount of such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all Investments made in reliance on this clause (q) exceeds $125,000,000 in any fiscal year of the Company, the Company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87"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1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Company or such Subsidiary (in the good faith determination of the Company) as could reasonably be obtained on an arm’s-length basis from unrelated third parties, (b) transactions between or among the Company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Company or such Subsidiary, (d) loans and advances to officers, directors, consultants and employees in the ordinary course of business,</w:t>
      </w:r>
    </w:p>
    <w:p>
      <w:pPr>
        <w:spacing w:after="0" w:line="4" w:lineRule="exact"/>
        <w:rPr>
          <w:sz w:val="20"/>
          <w:szCs w:val="20"/>
          <w:color w:val="auto"/>
        </w:rPr>
      </w:pPr>
    </w:p>
    <w:p>
      <w:pPr>
        <w:jc w:val="both"/>
        <w:ind w:firstLine="8"/>
        <w:spacing w:after="0" w:line="253" w:lineRule="auto"/>
        <w:tabs>
          <w:tab w:leader="none" w:pos="24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and other payments permitted under Section 6.04, (f) employment, incentive, benefit, consulting and severance arrangements entered into (i) in the ordinary course of business or (ii) set forth in Schedule 6.06, in each case, with officers, directors, consultants and employees of the Company or its Subsidiaries, (g) the transactions pursuant to the agreements set forth in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or any amendment thereto to the extent such an amendment, taken as a whole, is not adverse to the Lenders in any material respect (as determined in good faith by the Company), (h) the payment of fees and expenses related to the Transactions, (i) the issuance of Qualified Equity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80" w:right="239" w:bottom="1440" w:gutter="0" w:footer="0" w:header="0"/>
        </w:sectPr>
      </w:pPr>
    </w:p>
    <w:bookmarkStart w:id="374" w:name="page375"/>
    <w:bookmarkEnd w:id="37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the granting of registration or other customary rights in connection therewith, (j) the existence of, and the performance by the Company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and similar agreements that it may enter into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existence of, or the performance by the Company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Company) than any of such documents and agreements as in effect on the Closing Date, (k) consulting services to joint ventures in the ordinary course of business and any other transactions between or among the Company,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Company or any of its Subsidiaries of the nature provided by the Company or any of its Subsidiaries to customers in the ordinary course of business and (o) transactions approved by the Audit Committee of the Board of Directors of the Company in accordance with the Company’s policy regarding related party transactions in effect from time to time.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The Company will not permit the Consolidated Leverage Ratio as of any March 31, June 30, September 30 or December 31 occurring after the Closing Date to exceed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foregoing, for any such date occurring after a Qualified Acquisition, on or prior to the last day of the third full fiscal quarter of the Company after the consummation of such Qualified Acquisition, the Company will not permit the Consolidated Leverage Ratio as of such date to exceed 4.25 to 1.00.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The Company will not, and will not permit any of its Subsidiaries to, engage to any material extent in any business substantially different from the businesses of the type conducted by the Company and its Subsidiaries on the date of execution of this Agreement and businesses reasonably related, ancillary or complementary thereto and reasonable extensions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ind w:firstLine="1305"/>
        <w:spacing w:after="0" w:line="282" w:lineRule="auto"/>
        <w:tabs>
          <w:tab w:leader="none" w:pos="168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principal of the Term Loan when and as the same shall become due and payable, whether at the due date thereof or at a date fixed for prepayment thereof or otherwise;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80" w:right="239" w:bottom="1440" w:gutter="0" w:footer="0" w:header="0"/>
        </w:sectPr>
      </w:pPr>
    </w:p>
    <w:bookmarkStart w:id="375" w:name="page376"/>
    <w:bookmarkEnd w:id="375"/>
    <w:p>
      <w:pPr>
        <w:jc w:val="both"/>
        <w:ind w:firstLine="1305"/>
        <w:spacing w:after="0" w:line="266" w:lineRule="auto"/>
        <w:tabs>
          <w:tab w:leader="none" w:pos="175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shall fail to pay any interest on the Term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76"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9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Company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80"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observe or perform any covenant, condition or agreement contained in Article VI;</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5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76" w:lineRule="exact"/>
        <w:rPr>
          <w:rFonts w:ascii="Times New Roman" w:cs="Times New Roman" w:eastAsia="Times New Roman" w:hAnsi="Times New Roman"/>
          <w:sz w:val="18"/>
          <w:szCs w:val="18"/>
          <w:color w:val="auto"/>
        </w:rPr>
      </w:pPr>
    </w:p>
    <w:p>
      <w:pPr>
        <w:jc w:val="both"/>
        <w:ind w:firstLine="1305"/>
        <w:spacing w:after="0" w:line="257" w:lineRule="auto"/>
        <w:tabs>
          <w:tab w:leader="none" w:pos="175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8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$200,000,000 and any Loan Party or any Material Subsidiary fails to pay such termination value when due after applicable grace periods.</w:t>
      </w:r>
    </w:p>
    <w:p>
      <w:pPr>
        <w:spacing w:after="0" w:line="187"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6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or as a result of a casualty event affecting such property or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80" w:right="239" w:bottom="1440" w:gutter="0" w:footer="0" w:header="0"/>
        </w:sectPr>
      </w:pPr>
    </w:p>
    <w:bookmarkStart w:id="376" w:name="page377"/>
    <w:bookmarkEnd w:id="376"/>
    <w:p>
      <w:pPr>
        <w:jc w:val="both"/>
        <w:ind w:firstLine="1305"/>
        <w:spacing w:after="0" w:line="258" w:lineRule="auto"/>
        <w:tabs>
          <w:tab w:leader="none" w:pos="170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83"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2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68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become generally unable, admit in writing its inability generally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5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for the payment of money in an aggregate amount in excess of $200,000,000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0"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 Material Adverse Effect or in the imposition of a Lien or security interest on any assets of the Borrower or any Subsidiary under Sections 401(a)(29) or 430(k) of the Code or under Section 4068 of ERISA;</w:t>
      </w:r>
    </w:p>
    <w:p>
      <w:pPr>
        <w:spacing w:after="0" w:line="176"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11"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81" w:right="239" w:bottom="1440" w:gutter="0" w:footer="0" w:header="0"/>
        </w:sectPr>
      </w:pPr>
    </w:p>
    <w:bookmarkStart w:id="377" w:name="page378"/>
    <w:bookmarkEnd w:id="37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5.09), or purports in writing to revoke or rescind any Guarantee Agreement, in each case with respect to a material provision of any such Guarantee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Borrowers, declare the Term Loan then outstanding to be due and payable in whole (or in part, in which case any principal not so declared to be due and payable may thereafter be declared to be due and payable), and thereupon the principal of the Term Loan declared to be due and payable, together with accrued interest thereon and all fees and other obligations of each Borrower accrued hereunder and under the other Loan Documents, shall become due and payable immediately, without presentment, demand, protest or other notice of any kind, all of which are hereby waived by each Borrower; and in case of any event with respect to each Borrower described in clause (h) or (i) of this Article, the principal of the Term Loan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each Borrower.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jc w:val="both"/>
        <w:ind w:firstLine="1305"/>
        <w:spacing w:after="0" w:line="255" w:lineRule="auto"/>
        <w:tabs>
          <w:tab w:leader="none" w:pos="168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hereby irrevocably appoints Bank of America as its agent and authorizes Bank of America to take such actions on its behalf and to exercise such powers as are delegated to the Administrative Agent by the terms hereof and the other Loan Documents, together with such actions and powers as are reasonably incidental thereto. The provisions of this Article are solely for the benefit of the Administrative Agent and the Lenders,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9"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3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Loan Parties or any Subsidiary or other Affiliate thereof as if such Person were not the Administrative Agent hereunder and without any duty to account therefor to the Lenders.</w:t>
      </w:r>
    </w:p>
    <w:p>
      <w:pPr>
        <w:spacing w:after="0" w:line="187" w:lineRule="exact"/>
        <w:rPr>
          <w:rFonts w:ascii="Times New Roman" w:cs="Times New Roman" w:eastAsia="Times New Roman" w:hAnsi="Times New Roman"/>
          <w:sz w:val="18"/>
          <w:szCs w:val="18"/>
          <w:color w:val="auto"/>
        </w:rPr>
      </w:pPr>
    </w:p>
    <w:p>
      <w:pPr>
        <w:ind w:firstLine="1305"/>
        <w:spacing w:after="0" w:line="282" w:lineRule="auto"/>
        <w:tabs>
          <w:tab w:leader="none" w:pos="177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 have any duties or obligations except those expressly set forth herein and in the other Loan Documents, and its duties hereunder shall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80" w:right="239" w:bottom="1440" w:gutter="0" w:footer="0" w:header="0"/>
        </w:sectPr>
      </w:pPr>
    </w:p>
    <w:bookmarkStart w:id="378" w:name="page379"/>
    <w:bookmarkEnd w:id="378"/>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be administrative in nature.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herein and in the other Loan Documents, the Administrative Agent shall not have any duty to disclose, and shall not be liable for the failure to disclose, any information relating to the Loan Parties or any of their Subsidiaries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shall be necessary, under the circumstances as provided herein) or in the absence of its own bad faith, gross negligence or willful misconduct as determined by a court of competent jurisdiction by final and nonappealable judgment. The Administrative Agent shall be deemed not to have knowledge of any Default unless and until written notice describing such Default thereof is given to the Administrative Agent by the Company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2" w:lineRule="exact"/>
        <w:rPr>
          <w:sz w:val="20"/>
          <w:szCs w:val="20"/>
          <w:color w:val="auto"/>
        </w:rPr>
      </w:pPr>
    </w:p>
    <w:p>
      <w:pPr>
        <w:jc w:val="both"/>
        <w:ind w:firstLine="8"/>
        <w:spacing w:after="0" w:line="254" w:lineRule="auto"/>
        <w:tabs>
          <w:tab w:leader="none" w:pos="33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85"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98"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be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Loan Parties),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580" w:right="239" w:bottom="1440" w:gutter="0" w:footer="0" w:header="0"/>
        </w:sectPr>
      </w:pPr>
    </w:p>
    <w:bookmarkStart w:id="379" w:name="page380"/>
    <w:bookmarkEnd w:id="379"/>
    <w:p>
      <w:pPr>
        <w:ind w:right="20"/>
        <w:spacing w:after="0" w:line="282" w:lineRule="auto"/>
        <w:rPr>
          <w:sz w:val="20"/>
          <w:szCs w:val="20"/>
          <w:color w:val="auto"/>
        </w:rPr>
      </w:pPr>
      <w:r>
        <w:rPr>
          <w:rFonts w:ascii="Times New Roman" w:cs="Times New Roman" w:eastAsia="Times New Roman" w:hAnsi="Times New Roman"/>
          <w:sz w:val="18"/>
          <w:szCs w:val="18"/>
          <w:color w:val="auto"/>
        </w:rPr>
        <w:t>accountants and other experts selected by it, and shall not be liable for any action taken or not taken by it in accordance with the advice of any such counsel, accountants or experts.</w:t>
      </w:r>
    </w:p>
    <w:p>
      <w:pPr>
        <w:spacing w:after="0" w:line="162" w:lineRule="exact"/>
        <w:rPr>
          <w:sz w:val="20"/>
          <w:szCs w:val="20"/>
          <w:color w:val="auto"/>
        </w:rPr>
      </w:pPr>
    </w:p>
    <w:p>
      <w:pPr>
        <w:jc w:val="both"/>
        <w:ind w:firstLine="1305"/>
        <w:spacing w:after="0" w:line="255" w:lineRule="auto"/>
        <w:tabs>
          <w:tab w:leader="none" w:pos="1692"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89"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0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may at any time give notice of its resignation to the Lenders and the Company. Upon receipt of any such notice of resignation, the Required Lenders shall have the right, in consultation with the Company and (unless an Event of Default under clause (a), (b),</w:t>
      </w:r>
    </w:p>
    <w:p>
      <w:pPr>
        <w:jc w:val="both"/>
        <w:ind w:firstLine="8"/>
        <w:spacing w:after="0" w:line="252" w:lineRule="auto"/>
        <w:tabs>
          <w:tab w:leader="none" w:pos="26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 of Article VII shall have occurred and be continuing) with the consent of the Company (which consent of the Company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9" w:lineRule="exact"/>
        <w:rPr>
          <w:rFonts w:ascii="Times New Roman" w:cs="Times New Roman" w:eastAsia="Times New Roman" w:hAnsi="Times New Roman"/>
          <w:sz w:val="18"/>
          <w:szCs w:val="18"/>
          <w:color w:val="auto"/>
        </w:rPr>
      </w:pPr>
    </w:p>
    <w:p>
      <w:pPr>
        <w:jc w:val="both"/>
        <w:ind w:firstLine="1953"/>
        <w:spacing w:after="0" w:line="254" w:lineRule="auto"/>
        <w:tabs>
          <w:tab w:leader="none" w:pos="2420"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the Company in consultation with the Lenders shall, unless an Event of Default shall have occurred and be continuing, in which case the Required Lenders in consultation with the Company shall, appoint a successor, which shall be a bank with an office in the United States, or an Affiliate of any such bank with an office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consent of the Company (not to be unreasonably withheld), the Required Lenders shall not be permitted to select a successor that is not a U.S. financial institution described in Treasury Regulation Section 1.1441-1(b)(2)</w:t>
      </w:r>
    </w:p>
    <w:p>
      <w:pPr>
        <w:jc w:val="both"/>
        <w:ind w:firstLine="8"/>
        <w:spacing w:after="0" w:line="255" w:lineRule="auto"/>
        <w:tabs>
          <w:tab w:leader="none" w:pos="26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80" w:right="239" w:bottom="1440" w:gutter="0" w:footer="0" w:header="0"/>
        </w:sectPr>
      </w:pPr>
    </w:p>
    <w:bookmarkStart w:id="380" w:name="page381"/>
    <w:bookmarkEnd w:id="380"/>
    <w:p>
      <w:pPr>
        <w:jc w:val="both"/>
        <w:ind w:firstLine="1953"/>
        <w:spacing w:after="0" w:line="253" w:lineRule="auto"/>
        <w:tabs>
          <w:tab w:leader="none" w:pos="243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Section 9.03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88" w:lineRule="exact"/>
        <w:rPr>
          <w:rFonts w:ascii="Times New Roman" w:cs="Times New Roman" w:eastAsia="Times New Roman" w:hAnsi="Times New Roman"/>
          <w:sz w:val="18"/>
          <w:szCs w:val="18"/>
          <w:color w:val="auto"/>
        </w:rPr>
      </w:pPr>
    </w:p>
    <w:p>
      <w:pPr>
        <w:jc w:val="both"/>
        <w:ind w:firstLine="1305"/>
        <w:spacing w:after="0" w:line="256" w:lineRule="auto"/>
        <w:tabs>
          <w:tab w:leader="none" w:pos="1708"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7"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5"/>
        <w:spacing w:after="0" w:line="256" w:lineRule="auto"/>
        <w:tabs>
          <w:tab w:leader="none" w:pos="1643"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irrevocably agree that any Guarantor shall be automatically released from its obligations under the applicable Guarantee if such Person ceases to be a Subsidiary as a result of a transaction permitted hereunder.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80" w:right="239" w:bottom="1440" w:gutter="0" w:footer="0" w:header="0"/>
        </w:sectPr>
      </w:pPr>
    </w:p>
    <w:bookmarkStart w:id="381" w:name="page382"/>
    <w:bookmarkEnd w:id="381"/>
    <w:p>
      <w:pPr>
        <w:jc w:val="both"/>
        <w:ind w:firstLine="1305"/>
        <w:spacing w:after="0" w:line="266" w:lineRule="auto"/>
        <w:tabs>
          <w:tab w:leader="none" w:pos="169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the Arrangers listed on the cover page hereof shall not have any powers, duties or responsibilities under this Agreement or any of the other Loan Documents, except in its capacity, as applicable, as the Administrative Agent or a Lender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61" w:lineRule="auto"/>
        <w:tabs>
          <w:tab w:leader="none" w:pos="170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18"/>
          <w:szCs w:val="18"/>
          <w:color w:val="auto"/>
        </w:rPr>
      </w:pPr>
    </w:p>
    <w:p>
      <w:pPr>
        <w:ind w:firstLine="1953"/>
        <w:spacing w:after="0" w:line="282" w:lineRule="auto"/>
        <w:tabs>
          <w:tab w:leader="none" w:pos="237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Loan Party or the Administrative Agent,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480" w:hanging="527"/>
        <w:spacing w:after="0"/>
        <w:tabs>
          <w:tab w:leader="none" w:pos="24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Questionnaire.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4" w:lineRule="exact"/>
        <w:rPr>
          <w:sz w:val="20"/>
          <w:szCs w:val="20"/>
          <w:color w:val="auto"/>
        </w:rPr>
      </w:pPr>
    </w:p>
    <w:p>
      <w:pPr>
        <w:jc w:val="both"/>
        <w:ind w:firstLine="1305"/>
        <w:spacing w:after="0" w:line="256" w:lineRule="auto"/>
        <w:tabs>
          <w:tab w:leader="none" w:pos="170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81" w:right="239" w:bottom="1440" w:gutter="0" w:footer="0" w:header="0"/>
        </w:sectPr>
      </w:pPr>
    </w:p>
    <w:bookmarkStart w:id="382" w:name="page383"/>
    <w:bookmarkEnd w:id="382"/>
    <w:p>
      <w:pPr>
        <w:jc w:val="both"/>
        <w:spacing w:after="0" w:line="261" w:lineRule="auto"/>
        <w:rPr>
          <w:sz w:val="20"/>
          <w:szCs w:val="20"/>
          <w:color w:val="auto"/>
        </w:rPr>
      </w:pPr>
      <w:r>
        <w:rPr>
          <w:rFonts w:ascii="Times New Roman" w:cs="Times New Roman" w:eastAsia="Times New Roman" w:hAnsi="Times New Roman"/>
          <w:sz w:val="18"/>
          <w:szCs w:val="18"/>
          <w:color w:val="auto"/>
        </w:rPr>
        <w:t>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0" w:lineRule="exact"/>
        <w:rPr>
          <w:sz w:val="20"/>
          <w:szCs w:val="20"/>
          <w:color w:val="auto"/>
        </w:rPr>
      </w:pPr>
    </w:p>
    <w:p>
      <w:pPr>
        <w:jc w:val="both"/>
        <w:ind w:firstLine="1305"/>
        <w:spacing w:after="0" w:line="253" w:lineRule="auto"/>
        <w:tabs>
          <w:tab w:leader="none" w:pos="1811"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Loan Party, any Lender,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any Loan Party, any Lender or any other Person for indirect, special, incidental, consequential or punitive damages (as opposed to direct or actual damages).</w:t>
      </w:r>
    </w:p>
    <w:p>
      <w:pPr>
        <w:spacing w:after="0" w:line="190"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Company (with respect to the notice address for the Loan Parties),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80" w:right="239" w:bottom="1440" w:gutter="0" w:footer="0" w:header="0"/>
        </w:sectPr>
      </w:pPr>
    </w:p>
    <w:bookmarkStart w:id="383" w:name="page384"/>
    <w:bookmarkEnd w:id="383"/>
    <w:p>
      <w:pPr>
        <w:jc w:val="both"/>
        <w:ind w:firstLine="1305"/>
        <w:spacing w:after="0" w:line="255" w:lineRule="auto"/>
        <w:tabs>
          <w:tab w:leader="none" w:pos="170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Lender and the Related Parties of each of them from all losses, costs, expenses and liabilities resulting from the reliance by such Person on each notice purportedly given by or on behalf of such Loan Party unless due to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2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w:t>
      </w:r>
    </w:p>
    <w:p>
      <w:pPr>
        <w:spacing w:after="0" w:line="189"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6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each Lender directly affected thereby, it being understood that the waiver of any Default shall not constitute an increase of any Commitment of any Lender, (ii) reduce the principal amount of the Term Loan or reduce the rate of interest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Section 2.12(c) or to waive any obligation of the Borrowers to pay interest at the rate set forth therein, (iii) postpone the scheduled date of payment of the principal amount of the Term Loan, or any interest thereon, or any fees payable hereunder, or reduce the amount of, waive or excuse any such payment, or postpone the scheduled date of expiration of any Commitment, without the written consent of each Lender directly affected thereby, (iv) change Section 2.17(b) or (c) in a manner that would alter the pro rata sharing of payments required thereby, without the written consent of each Lender directly affected thereby, (v) change any of the provisions of this Section, the definition of “Required Lenders” or any other provision hereof specifying the number or percentage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80" w:right="239" w:bottom="1440" w:gutter="0" w:footer="0" w:header="0"/>
        </w:sectPr>
      </w:pPr>
    </w:p>
    <w:bookmarkStart w:id="384" w:name="page385"/>
    <w:bookmarkEnd w:id="38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Lenders required to waive, amend or modify any rights hereunder or make any determination or grant any consent hereunder without the written consent of each Lender or (vi) release all or substantially all of the Guarantors from their obligations under any Guarantee Agreement (other than pursuant to the proviso set forth in Section 5.09(a)), without the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(1) no such agreement shall amend, modify or otherwise affect the rights or duties of the Administrative Agent hereunder without the prior written consent of the Administrative Agent, and (2) the Administrative Agent and the Company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Loans held or deemed held by any Defaulting Lender shall be excluded for a vote of the Lenders hereunder requiring any consent of less than all affected Lenders).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4" w:lineRule="auto"/>
        <w:tabs>
          <w:tab w:leader="none" w:pos="181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Term Loan made hereunder, including all such reasonable and documented out-of-pocket expenses incurred during any workout, restructuring or negotiations in respect of such Term Loan.</w:t>
      </w:r>
    </w:p>
    <w:p>
      <w:pPr>
        <w:spacing w:after="0" w:line="186"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8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indemnify the Administrative Agent, the Arrangers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the Term Loan or the use of the proceeds therefrom, (iii) to the extent relating to or arising from any of the foregoing, any actual or alleged presence or release of Hazardous Materials on or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80" w:right="239" w:bottom="1440" w:gutter="0" w:footer="0" w:header="0"/>
        </w:sectPr>
      </w:pPr>
    </w:p>
    <w:bookmarkStart w:id="385" w:name="page386"/>
    <w:bookmarkEnd w:id="38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a Borrower, its equityholders or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Times New Roman" w:cs="Times New Roman" w:eastAsia="Times New Roman" w:hAnsi="Times New Roman"/>
          <w:sz w:val="18"/>
          <w:szCs w:val="18"/>
          <w:u w:val="single" w:color="auto"/>
          <w:color w:val="auto"/>
        </w:rPr>
        <w:t>Related Indemnitee Parties</w:t>
      </w:r>
      <w:r>
        <w:rPr>
          <w:rFonts w:ascii="Times New Roman" w:cs="Times New Roman" w:eastAsia="Times New Roman" w:hAnsi="Times New Roman"/>
          <w:sz w:val="18"/>
          <w:szCs w:val="18"/>
          <w:color w:val="auto"/>
        </w:rPr>
        <w:t>”),</w:t>
      </w:r>
    </w:p>
    <w:p>
      <w:pPr>
        <w:jc w:val="both"/>
        <w:ind w:firstLine="8"/>
        <w:spacing w:after="0" w:line="254" w:lineRule="auto"/>
        <w:tabs>
          <w:tab w:leader="none" w:pos="28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breach of this Agreement or any other Loan Document by such Indemnitee or any of its Related Indemnitee Parties or (C) any dispute solely among Indemnitees (other than any dispute involving claims against the Administrative Agent and any Arranger, in each case in its capacity as such) and not arising out of any act or omission of the Borrowers or any of their Affiliates. In addition, such indemnity shall not, as to any Indemnitee, be available with respect to any settlements effected without the Company’s prior written consent.</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73"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under paragraph (a) or (b) of this Section, each Lender severally agrees to pay to the Administrative Agent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in its capacity as such.</w:t>
      </w:r>
    </w:p>
    <w:p>
      <w:pPr>
        <w:spacing w:after="0" w:line="180" w:lineRule="exact"/>
        <w:rPr>
          <w:rFonts w:ascii="Times New Roman" w:cs="Times New Roman" w:eastAsia="Times New Roman" w:hAnsi="Times New Roman"/>
          <w:sz w:val="18"/>
          <w:szCs w:val="18"/>
          <w:color w:val="auto"/>
        </w:rPr>
      </w:pPr>
    </w:p>
    <w:p>
      <w:pPr>
        <w:jc w:val="both"/>
        <w:ind w:firstLine="1305"/>
        <w:spacing w:after="0" w:line="254" w:lineRule="auto"/>
        <w:tabs>
          <w:tab w:leader="none" w:pos="1718"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the Term Loan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(d) shall in no way limit each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688"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shall be payable not later than fifteen (15)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80" w:right="239" w:bottom="1440" w:gutter="0" w:footer="0" w:header="0"/>
        </w:sectPr>
      </w:pPr>
    </w:p>
    <w:bookmarkStart w:id="386" w:name="page387"/>
    <w:bookmarkEnd w:id="386"/>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5"/>
        <w:spacing w:after="0" w:line="254" w:lineRule="auto"/>
        <w:tabs>
          <w:tab w:leader="none" w:pos="17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no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9" w:lineRule="exact"/>
        <w:rPr>
          <w:rFonts w:ascii="Times New Roman" w:cs="Times New Roman" w:eastAsia="Times New Roman" w:hAnsi="Times New Roman"/>
          <w:sz w:val="18"/>
          <w:szCs w:val="18"/>
          <w:color w:val="auto"/>
        </w:rPr>
      </w:pPr>
    </w:p>
    <w:p>
      <w:pPr>
        <w:jc w:val="both"/>
        <w:ind w:firstLine="1305"/>
        <w:spacing w:after="0" w:line="266" w:lineRule="auto"/>
        <w:tabs>
          <w:tab w:leader="none" w:pos="1727"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the Term Loan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76"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1301"/>
        <w:spacing w:after="0" w:line="282" w:lineRule="auto"/>
        <w:tabs>
          <w:tab w:leader="none" w:pos="304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Term Loan at the time owing to it or in the case of an assignment to a Lender, an Affiliate of a Lender or an Approved Fund, no minimum amount need be assigned; and</w:t>
      </w:r>
    </w:p>
    <w:p>
      <w:pPr>
        <w:spacing w:after="0" w:line="161" w:lineRule="exact"/>
        <w:rPr>
          <w:rFonts w:ascii="Times New Roman" w:cs="Times New Roman" w:eastAsia="Times New Roman" w:hAnsi="Times New Roman"/>
          <w:sz w:val="18"/>
          <w:szCs w:val="18"/>
          <w:color w:val="auto"/>
        </w:rPr>
      </w:pPr>
    </w:p>
    <w:p>
      <w:pPr>
        <w:jc w:val="both"/>
        <w:ind w:left="1300" w:firstLine="1301"/>
        <w:spacing w:after="0" w:line="254" w:lineRule="auto"/>
        <w:tabs>
          <w:tab w:leader="none" w:pos="3047"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subsection (b)(i)(A) of this Section, the aggregate amount of the principal outstanding balance of the Term Loan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Company otherwise consents (each such consent not to be unreasonably withheld or delayed) and, once New Mylan has become a Designated Borrower or Successor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81" w:right="239" w:bottom="1440" w:gutter="0" w:footer="0" w:header="0"/>
        </w:sectPr>
      </w:pPr>
    </w:p>
    <w:bookmarkStart w:id="387" w:name="page388"/>
    <w:bookmarkEnd w:id="387"/>
    <w:p>
      <w:pPr>
        <w:ind w:firstLine="1953"/>
        <w:spacing w:after="0" w:line="282" w:lineRule="auto"/>
        <w:tabs>
          <w:tab w:leader="none" w:pos="237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portion of the Term Loan being assigned;</w:t>
      </w:r>
    </w:p>
    <w:p>
      <w:pPr>
        <w:spacing w:after="0" w:line="161"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and, in addition:</w:t>
      </w:r>
    </w:p>
    <w:p>
      <w:pPr>
        <w:spacing w:after="0" w:line="206" w:lineRule="exact"/>
        <w:rPr>
          <w:rFonts w:ascii="Times New Roman" w:cs="Times New Roman" w:eastAsia="Times New Roman" w:hAnsi="Times New Roman"/>
          <w:sz w:val="18"/>
          <w:szCs w:val="18"/>
          <w:color w:val="auto"/>
        </w:rPr>
      </w:pPr>
    </w:p>
    <w:p>
      <w:pPr>
        <w:jc w:val="both"/>
        <w:ind w:left="1300" w:firstLine="1301"/>
        <w:spacing w:after="0" w:line="258" w:lineRule="auto"/>
        <w:tabs>
          <w:tab w:leader="none" w:pos="3098"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either (x) an Event of Default pursuant to clause (a), (b), (h) or (i) of Article VII has occurred and is continuing at the time of such assignment or (y) the assignment is to a Lender or its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 and</w:t>
      </w:r>
    </w:p>
    <w:p>
      <w:pPr>
        <w:spacing w:after="0" w:line="183" w:lineRule="exact"/>
        <w:rPr>
          <w:rFonts w:ascii="Times New Roman" w:cs="Times New Roman" w:eastAsia="Times New Roman" w:hAnsi="Times New Roman"/>
          <w:sz w:val="18"/>
          <w:szCs w:val="18"/>
          <w:color w:val="auto"/>
        </w:rPr>
      </w:pPr>
    </w:p>
    <w:p>
      <w:pPr>
        <w:ind w:left="1300" w:right="20" w:firstLine="1301"/>
        <w:spacing w:after="0" w:line="282" w:lineRule="auto"/>
        <w:tabs>
          <w:tab w:leader="none" w:pos="3019"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the Term Loan.</w:t>
      </w:r>
    </w:p>
    <w:p>
      <w:pPr>
        <w:spacing w:after="0" w:line="161" w:lineRule="exact"/>
        <w:rPr>
          <w:rFonts w:ascii="Times New Roman" w:cs="Times New Roman" w:eastAsia="Times New Roman" w:hAnsi="Times New Roman"/>
          <w:sz w:val="18"/>
          <w:szCs w:val="18"/>
          <w:color w:val="auto"/>
        </w:rPr>
      </w:pPr>
    </w:p>
    <w:p>
      <w:pPr>
        <w:jc w:val="both"/>
        <w:ind w:firstLine="1953"/>
        <w:spacing w:after="0" w:line="258" w:lineRule="auto"/>
        <w:tabs>
          <w:tab w:leader="none" w:pos="247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confirm its status pursuant to Section 2.16(i) and, if applicable, deliver its scheme reference number and its jurisdiction of tax residence pursuant to Section 2.16(h)(ii).</w:t>
      </w:r>
    </w:p>
    <w:p>
      <w:pPr>
        <w:spacing w:after="0" w:line="183" w:lineRule="exact"/>
        <w:rPr>
          <w:rFonts w:ascii="Times New Roman" w:cs="Times New Roman" w:eastAsia="Times New Roman" w:hAnsi="Times New Roman"/>
          <w:sz w:val="18"/>
          <w:szCs w:val="18"/>
          <w:color w:val="auto"/>
        </w:rPr>
      </w:pPr>
    </w:p>
    <w:p>
      <w:pPr>
        <w:ind w:left="2420" w:hanging="467"/>
        <w:spacing w:after="0"/>
        <w:tabs>
          <w:tab w:leader="none" w:pos="24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Loan Parties</w:t>
      </w:r>
      <w:r>
        <w:rPr>
          <w:rFonts w:ascii="Times New Roman" w:cs="Times New Roman" w:eastAsia="Times New Roman" w:hAnsi="Times New Roman"/>
          <w:sz w:val="18"/>
          <w:szCs w:val="18"/>
          <w:color w:val="auto"/>
        </w:rPr>
        <w:t>. No such assignment shall be made to any Loan Party or any Loan Party’s Affiliates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225" w:lineRule="exact"/>
        <w:rPr>
          <w:rFonts w:ascii="Times New Roman" w:cs="Times New Roman" w:eastAsia="Times New Roman" w:hAnsi="Times New Roman"/>
          <w:sz w:val="18"/>
          <w:szCs w:val="18"/>
          <w:color w:val="auto"/>
        </w:rPr>
      </w:pPr>
    </w:p>
    <w:p>
      <w:pPr>
        <w:jc w:val="both"/>
        <w:ind w:firstLine="1953"/>
        <w:spacing w:after="0" w:line="255" w:lineRule="auto"/>
        <w:tabs>
          <w:tab w:leader="none" w:pos="25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the Term Loan in accordance with its Applicable Percentage. Notwithstanding the foregoing, in the event that any assignment of rights and obligations of any Defaulting Lender hereunder shall become effective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80" w:right="239" w:bottom="1440" w:gutter="0" w:footer="0" w:header="0"/>
        </w:sectPr>
      </w:pPr>
    </w:p>
    <w:bookmarkStart w:id="388" w:name="page389"/>
    <w:bookmarkEnd w:id="38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applicable Law without compliance with the provisions of this paragraph, then the assignee of such interest shall be deemed to be a Defaulting Lender for all purposes of this Agreement until such compliance occurs.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3" w:lineRule="exact"/>
        <w:rPr>
          <w:sz w:val="20"/>
          <w:szCs w:val="20"/>
          <w:color w:val="auto"/>
        </w:rPr>
      </w:pPr>
    </w:p>
    <w:p>
      <w:pPr>
        <w:jc w:val="both"/>
        <w:ind w:firstLine="1305"/>
        <w:spacing w:after="0" w:line="255" w:lineRule="auto"/>
        <w:tabs>
          <w:tab w:leader="none" w:pos="169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Borrowers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Term Loan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Company and any Lender, at any reasonable time and from time to time upon reasonable prior notice.</w:t>
      </w:r>
    </w:p>
    <w:p>
      <w:pPr>
        <w:spacing w:after="0" w:line="189" w:lineRule="exact"/>
        <w:rPr>
          <w:rFonts w:ascii="Times New Roman" w:cs="Times New Roman" w:eastAsia="Times New Roman" w:hAnsi="Times New Roman"/>
          <w:sz w:val="18"/>
          <w:szCs w:val="18"/>
          <w:color w:val="auto"/>
        </w:rPr>
      </w:pPr>
    </w:p>
    <w:p>
      <w:pPr>
        <w:jc w:val="both"/>
        <w:ind w:firstLine="1305"/>
        <w:spacing w:after="0" w:line="255" w:lineRule="auto"/>
        <w:tabs>
          <w:tab w:leader="none" w:pos="175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a Defaulting Lender or any Borrower or any of a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the Term Loan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Lenders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80" w:right="239" w:bottom="1440" w:gutter="0" w:footer="0" w:header="0"/>
        </w:sectPr>
      </w:pPr>
    </w:p>
    <w:bookmarkStart w:id="389" w:name="page390"/>
    <w:bookmarkEnd w:id="38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Borrowers agree that each Participant shall be entitled to the benefits of Sections 2.14, 2.15 and 2.16 to the same extent as if it were a Lender and had acquired its interest by assignment pursuant to subsection (b) of this Section.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 principal amounts and interest thereon of each participant’s interest in the Term Loan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7" w:lineRule="exact"/>
        <w:rPr>
          <w:sz w:val="20"/>
          <w:szCs w:val="20"/>
          <w:color w:val="auto"/>
        </w:rPr>
      </w:pPr>
    </w:p>
    <w:p>
      <w:pPr>
        <w:ind w:right="60" w:firstLine="1305"/>
        <w:spacing w:after="0" w:line="258" w:lineRule="auto"/>
        <w:tabs>
          <w:tab w:leader="none" w:pos="167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83" w:lineRule="exact"/>
        <w:rPr>
          <w:rFonts w:ascii="Times New Roman" w:cs="Times New Roman" w:eastAsia="Times New Roman" w:hAnsi="Times New Roman"/>
          <w:sz w:val="18"/>
          <w:szCs w:val="18"/>
          <w:color w:val="auto"/>
        </w:rPr>
      </w:pPr>
    </w:p>
    <w:p>
      <w:pPr>
        <w:jc w:val="both"/>
        <w:ind w:firstLine="1305"/>
        <w:spacing w:after="0" w:line="261" w:lineRule="auto"/>
        <w:tabs>
          <w:tab w:leader="none" w:pos="177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80" w:right="239" w:bottom="1440" w:gutter="0" w:footer="0" w:header="0"/>
        </w:sectPr>
      </w:pPr>
    </w:p>
    <w:bookmarkStart w:id="390" w:name="page391"/>
    <w:bookmarkEnd w:id="390"/>
    <w:p>
      <w:pPr>
        <w:jc w:val="both"/>
        <w:spacing w:after="0" w:line="258" w:lineRule="auto"/>
        <w:rPr>
          <w:sz w:val="20"/>
          <w:szCs w:val="20"/>
          <w:color w:val="auto"/>
        </w:rPr>
      </w:pPr>
      <w:r>
        <w:rPr>
          <w:rFonts w:ascii="Times New Roman" w:cs="Times New Roman" w:eastAsia="Times New Roman" w:hAnsi="Times New Roman"/>
          <w:sz w:val="18"/>
          <w:szCs w:val="18"/>
          <w:color w:val="auto"/>
        </w:rPr>
        <w:t>Lender or on their behalf and notwithstanding that the Administrative Agent or any Lender may have had notice or knowledge of any Default at the time of the borrowing of the Term Loan on the Closing Date, and shall continue in full force and effect as long as the Term Loan or any other Obligation hereunder shall remain unpaid or unsatisfied. The provisions of Sections 2.14, 2.15, 2.16 and 9.03 and Article VIII shall survive and remain in full force and effect regardless of the consummation of the transactions contemplated hereby, the repayment of the Term Loan, the expiration or termination of the Commitments or the termination of this Agreement or any other Loan Document or any provision hereof or thereof.</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shall be effective as delivery of a manually executed counterpart of this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5"/>
        <w:spacing w:after="0" w:line="255" w:lineRule="auto"/>
        <w:tabs>
          <w:tab w:leader="none" w:pos="171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other Loan Party against any of and all the Obligations of such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89" w:lineRule="exact"/>
        <w:rPr>
          <w:rFonts w:ascii="Times New Roman" w:cs="Times New Roman" w:eastAsia="Times New Roman" w:hAnsi="Times New Roman"/>
          <w:sz w:val="18"/>
          <w:szCs w:val="18"/>
          <w:color w:val="auto"/>
        </w:rPr>
      </w:pPr>
    </w:p>
    <w:p>
      <w:pPr>
        <w:ind w:firstLine="1305"/>
        <w:spacing w:after="0" w:line="282" w:lineRule="auto"/>
        <w:tabs>
          <w:tab w:leader="none" w:pos="171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by or on behalf of any Borrower or any other Loan Party is made to the Administrative Agent or any Lender, or the Administrative Agent or any Lender exercises its right of setoff, and such payment or the proceeds of such setoff</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80" w:right="239" w:bottom="1440" w:gutter="0" w:footer="0" w:header="0"/>
        </w:sectPr>
      </w:pPr>
    </w:p>
    <w:bookmarkStart w:id="391" w:name="page392"/>
    <w:bookmarkEnd w:id="391"/>
    <w:p>
      <w:pPr>
        <w:jc w:val="both"/>
        <w:spacing w:after="0" w:line="255" w:lineRule="auto"/>
        <w:rPr>
          <w:sz w:val="20"/>
          <w:szCs w:val="20"/>
          <w:color w:val="auto"/>
        </w:rPr>
      </w:pPr>
      <w:r>
        <w:rPr>
          <w:rFonts w:ascii="Times New Roman" w:cs="Times New Roman" w:eastAsia="Times New Roman" w:hAnsi="Times New Roman"/>
          <w:sz w:val="18"/>
          <w:szCs w:val="18"/>
          <w:color w:val="auto"/>
        </w:rPr>
        <w:t>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5"/>
        <w:spacing w:after="0" w:line="282" w:lineRule="auto"/>
        <w:tabs>
          <w:tab w:leader="none" w:pos="175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61" w:lineRule="exact"/>
        <w:rPr>
          <w:rFonts w:ascii="Times New Roman" w:cs="Times New Roman" w:eastAsia="Times New Roman" w:hAnsi="Times New Roman"/>
          <w:sz w:val="18"/>
          <w:szCs w:val="18"/>
          <w:color w:val="auto"/>
        </w:rPr>
      </w:pPr>
    </w:p>
    <w:p>
      <w:pPr>
        <w:jc w:val="both"/>
        <w:ind w:firstLine="1305"/>
        <w:spacing w:after="0" w:line="253" w:lineRule="auto"/>
        <w:tabs>
          <w:tab w:leader="none" w:pos="172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90" w:lineRule="exact"/>
        <w:rPr>
          <w:rFonts w:ascii="Times New Roman" w:cs="Times New Roman" w:eastAsia="Times New Roman" w:hAnsi="Times New Roman"/>
          <w:sz w:val="18"/>
          <w:szCs w:val="18"/>
          <w:color w:val="auto"/>
        </w:rPr>
      </w:pPr>
    </w:p>
    <w:p>
      <w:pPr>
        <w:jc w:val="both"/>
        <w:ind w:firstLine="1305"/>
        <w:spacing w:after="0" w:line="261" w:lineRule="auto"/>
        <w:tabs>
          <w:tab w:leader="none" w:pos="16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580" w:right="23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t>law, the defense of an inconvenient forum to the maintenance of such action or proceeding in any such court.</w:t>
      </w:r>
    </w:p>
    <w:p>
      <w:pPr>
        <w:spacing w:after="0" w:line="225" w:lineRule="exact"/>
        <w:rPr>
          <w:sz w:val="20"/>
          <w:szCs w:val="20"/>
          <w:color w:val="auto"/>
        </w:rPr>
      </w:pPr>
    </w:p>
    <w:p>
      <w:pPr>
        <w:jc w:val="both"/>
        <w:ind w:firstLine="1305"/>
        <w:spacing w:after="0" w:line="261" w:lineRule="auto"/>
        <w:tabs>
          <w:tab w:leader="none" w:pos="170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Mylan and each Guarantor hereby appoints Mylan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practicable and permitted by law, the Company has been notified prior to such disclosure so that the Company may seek, at the Company’s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80" w:right="239" w:bottom="1440" w:gutter="0" w:footer="0" w:header="0"/>
        </w:sectPr>
      </w:pPr>
    </w:p>
    <w:bookmarkStart w:id="393" w:name="page394"/>
    <w:bookmarkEnd w:id="393"/>
    <w:p>
      <w:pPr>
        <w:jc w:val="both"/>
        <w:spacing w:after="0" w:line="255" w:lineRule="auto"/>
        <w:rPr>
          <w:sz w:val="20"/>
          <w:szCs w:val="20"/>
          <w:color w:val="auto"/>
        </w:rPr>
      </w:pPr>
      <w:r>
        <w:rPr>
          <w:rFonts w:ascii="Times New Roman" w:cs="Times New Roman" w:eastAsia="Times New Roman" w:hAnsi="Times New Roman"/>
          <w:sz w:val="18"/>
          <w:szCs w:val="18"/>
          <w:color w:val="auto"/>
        </w:rPr>
        <w:t>derivative transaction relating to a Loan Party and its obligations, (g) with the consent of any Loan Party or (h) to the extent such Information (x) becomes publicly available other than as a result of a breach of this Section or (y) becomes available to the Administrative Agent, any Lender or any of their respective Affiliates on a nonconfidential basis from a source other than a Loan Party.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or any Lender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each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Borrower and each other Loan Party, which information includes the name and address of each Borrower and each other Loan Party and other information that will allow such Lender or the Administrative Agent, as applicable, to identify each Borrower and each other Loan Party in accordance with the Act. Each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80" w:right="239" w:bottom="1440" w:gutter="0" w:footer="0" w:header="0"/>
        </w:sectPr>
      </w:pPr>
    </w:p>
    <w:bookmarkStart w:id="394" w:name="page395"/>
    <w:bookmarkEnd w:id="3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each Borrower, each other Loan Party and their respective Affiliates, on the one hand, and the Administrative Agent, the Arrangers and the Lenders, on the other hand, (B) each Borrower and each other Loan Parties has consulted its own legal, accounting, regulatory and tax advisors to the extent it has deemed appropriate, and (C) each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Arranger nor any Lender has any obligation to any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Borrowers, the other Loan Parties and their respective Affiliates, and neither the Administrative Agent nor any Arranger nor any Lender has any obligation to disclose any of such interests to any Borrower, any other Loan Party or any of their respective Affiliates. To the fullest extent permitted by law, each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“execute,” “execution,” “signed,” “signature,” and words of like import in or related to any document to be signed in connection with this Agreement and the transactions contemplated hereby (including Assignment and Assumptions,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Each Borrower is part of a group of affiliated Persons, and each Borrower expects to receive substantial direct and indirect benefits from the extension of the credit facility established pursuant to this Agreement. In consideration of the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580" w:right="239" w:bottom="1440" w:gutter="0" w:footer="0" w:header="0"/>
        </w:sectPr>
      </w:pPr>
    </w:p>
    <w:bookmarkStart w:id="395" w:name="page396"/>
    <w:bookmarkEnd w:id="395"/>
    <w:p>
      <w:pPr>
        <w:jc w:val="both"/>
        <w:spacing w:after="0" w:line="256" w:lineRule="auto"/>
        <w:rPr>
          <w:sz w:val="20"/>
          <w:szCs w:val="20"/>
          <w:color w:val="auto"/>
        </w:rPr>
      </w:pPr>
      <w:r>
        <w:rPr>
          <w:rFonts w:ascii="Times New Roman" w:cs="Times New Roman" w:eastAsia="Times New Roman" w:hAnsi="Times New Roman"/>
          <w:sz w:val="18"/>
          <w:szCs w:val="18"/>
          <w:color w:val="auto"/>
        </w:rPr>
        <w:t>foregoing, each Borrower hereby irrevocably and unconditionally agrees that it is jointly and severally liable for all of the Obligations, whether now or hereafter existing or due or to become due. The Obligations under the Loan Documents may be enforced by the Administrative Agent and the Lenders against any Borrower or all Borrowers or any Loan Party or all Loan Parties in any manner or order selected by the Administrative Agent or the Required Lenders in their sole discretion. Each Borrower and each Loan Party hereby irrevocably waives (i) any rights of subrogation and (ii) any rights of contribution, indemnity or reimbursement, in each case, that it may acquire or that may arise against any other Borrower or any other Loan Party due to any payment or performance made under this Agreement, in each case until all Obligations shall have been fully satisfied.</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9.08 (subject to the terms of Section 2.17(c)),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and (c) of the preceding proviso and subject to Section 2.17(c), any Lender may, with the consent of the Required Lenders, enforce any rights and remedies available to it and as authorized by the Required Lenders.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580" w:right="239" w:bottom="1440" w:gutter="0" w:footer="0" w:header="0"/>
        </w:sectPr>
      </w:pPr>
    </w:p>
    <w:bookmarkStart w:id="396" w:name="page397"/>
    <w:bookmarkEnd w:id="396"/>
    <w:p>
      <w:pPr>
        <w:jc w:val="both"/>
        <w:spacing w:after="0" w:line="253" w:lineRule="auto"/>
        <w:rPr>
          <w:sz w:val="20"/>
          <w:szCs w:val="20"/>
          <w:color w:val="auto"/>
        </w:rPr>
      </w:pPr>
      <w:r>
        <w:rPr>
          <w:rFonts w:ascii="Times New Roman" w:cs="Times New Roman" w:eastAsia="Times New Roman" w:hAnsi="Times New Roman"/>
          <w:sz w:val="18"/>
          <w:szCs w:val="18"/>
          <w:color w:val="auto"/>
        </w:rPr>
        <w:t>indemnification and contingent expense reimbursement obligations) shall have been satisfied by payment in full in cash.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Lenders, and each Guarantor shall remain liable to the Administrative Agent and the Lender Parties for the full amount guaranteed by such Guarantor hereunder.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80" w:right="239" w:bottom="1440" w:gutter="0" w:footer="0" w:header="0"/>
        </w:sectPr>
      </w:pPr>
    </w:p>
    <w:bookmarkStart w:id="397" w:name="page398"/>
    <w:bookmarkEnd w:id="397"/>
    <w:p>
      <w:pPr>
        <w:jc w:val="both"/>
        <w:spacing w:after="0" w:line="282" w:lineRule="auto"/>
        <w:rPr>
          <w:sz w:val="20"/>
          <w:szCs w:val="20"/>
          <w:color w:val="auto"/>
        </w:rPr>
      </w:pPr>
      <w:r>
        <w:rPr>
          <w:rFonts w:ascii="Times New Roman" w:cs="Times New Roman" w:eastAsia="Times New Roman" w:hAnsi="Times New Roman"/>
          <w:sz w:val="18"/>
          <w:szCs w:val="18"/>
          <w:color w:val="auto"/>
        </w:rPr>
        <w:t>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Amendments, etc., with Respect to the Obligations</w:t>
      </w:r>
      <w:r>
        <w:rPr>
          <w:rFonts w:ascii="Times New Roman" w:cs="Times New Roman" w:eastAsia="Times New Roman" w:hAnsi="Times New Roman"/>
          <w:sz w:val="18"/>
          <w:szCs w:val="18"/>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any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580" w:right="239" w:bottom="1440" w:gutter="0" w:footer="0" w:header="0"/>
        </w:sectPr>
      </w:pPr>
    </w:p>
    <w:bookmarkStart w:id="398" w:name="page399"/>
    <w:bookmarkEnd w:id="398"/>
    <w:p>
      <w:pPr>
        <w:jc w:val="both"/>
        <w:spacing w:after="0" w:line="255" w:lineRule="auto"/>
        <w:rPr>
          <w:sz w:val="20"/>
          <w:szCs w:val="20"/>
          <w:color w:val="auto"/>
        </w:rPr>
      </w:pPr>
      <w:r>
        <w:rPr>
          <w:rFonts w:ascii="Times New Roman" w:cs="Times New Roman" w:eastAsia="Times New Roman" w:hAnsi="Times New Roman"/>
          <w:sz w:val="18"/>
          <w:szCs w:val="18"/>
          <w:color w:val="auto"/>
        </w:rPr>
        <w:t>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Notwithstanding the foregoing, this Guarantee Agreement shall continue in full force and effect or be revived, as the case may be, if any payment by or on behalf of any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Obligations Independent</w:t>
      </w:r>
      <w:r>
        <w:rPr>
          <w:rFonts w:ascii="Times New Roman" w:cs="Times New Roman" w:eastAsia="Times New Roman" w:hAnsi="Times New Roman"/>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any Borrower or any other Person or entity is joined as a party.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by each Guarantor under this Guarantee Agreement shall be made in the manner, at the place and in the currency for payment required by this Agreement and the other Loan Documents. The obligations of each Guarantor hereunder shall not be affected by any acts of any legislative body or Governmental Authority affecting such Guarantor or any Borrower, including but not limited to, any restrictions on the conversion of currency or repatriation or control of funds or any total or partial expropriation of such Guarantor’s or any Borrower’s property, or by economic, political, regulatory or other events in the countries where such Guarantor or any Borrower is located.</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Each Guarantor hereby subordinates the payment of all obligations and indebtedness of each Borrower owing to each Guarantor, whether now existing or hereafter arising, including but not limited to any obligation of any Borrower to such Guarantor as subrogee of the Lender Parties or resulting from such Guarantor’s performance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80" w:right="239" w:bottom="1440" w:gutter="0" w:footer="0" w:header="0"/>
        </w:sectPr>
      </w:pPr>
    </w:p>
    <w:bookmarkStart w:id="399" w:name="page400"/>
    <w:bookmarkEnd w:id="39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this Guarantee Agreement, to the indefeasible payment in full in cash of all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subordination shall not be given effect until such time as the Lender Parties shall have made a request to the Company pursuant to the second sentence of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Stay of Acceleration</w:t>
      </w:r>
      <w:r>
        <w:rPr>
          <w:rFonts w:ascii="Times New Roman" w:cs="Times New Roman" w:eastAsia="Times New Roman" w:hAnsi="Times New Roman"/>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Condition of Borrower</w:t>
      </w:r>
      <w:r>
        <w:rPr>
          <w:rFonts w:ascii="Times New Roman" w:cs="Times New Roman" w:eastAsia="Times New Roman" w:hAnsi="Times New Roman"/>
          <w:sz w:val="18"/>
          <w:szCs w:val="18"/>
          <w:color w:val="auto"/>
        </w:rPr>
        <w:t>. Each Guarantor acknowledges and agrees that it has the sole responsibility for, and has adequate means of, obtaining from each Borrower and any other guarantor such information concerning the financial condition, business and operations of the Borrowers and any such other guarantor as Guarantor requires, and that none of the Lender Parties has any duty, and Guarantor is not relying on the Lender Parties at any time, to disclose to Guarantor any information relating to the business, operations or financial condition of the Borrowers or any other guarantor (Guarantor waiving any duty on the part of the Lender Parties to disclose such information and any defense relating to the failure to provide the same).</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At such time as the Term Loan and the other Obligations (other than contingent indemnification and contingent expense reimbursement obligations) shall have been paid in full,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hereunder shall be released to the extent (and in the manner) expressly set forth in Section 5.09 or in the event such Guarantor ceases to be a Subsidiary in a transaction not prohibited by the terms of this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580" w:right="239" w:bottom="1440" w:gutter="0" w:footer="0" w:header="0"/>
        </w:sectPr>
      </w:pPr>
    </w:p>
    <w:bookmarkStart w:id="400" w:name="page401"/>
    <w:bookmarkEnd w:id="40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3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MYLAN INC.</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Colleen Ostrowski</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Colleen Ostrowski</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Mylan – Term Credit Agreement</w:t>
      </w:r>
    </w:p>
    <w:p>
      <w:pPr>
        <w:sectPr>
          <w:pgSz w:w="11900" w:h="16838" w:orient="portrait"/>
          <w:cols w:equalWidth="0" w:num="1">
            <w:col w:w="11420"/>
          </w:cols>
          <w:pgMar w:left="240" w:top="580" w:right="239" w:bottom="1440" w:gutter="0" w:footer="0" w:header="0"/>
        </w:sectPr>
      </w:pPr>
    </w:p>
    <w:bookmarkStart w:id="401" w:name="page402"/>
    <w:bookmarkEnd w:id="401"/>
    <w:p>
      <w:pPr>
        <w:ind w:left="4100"/>
        <w:spacing w:after="0"/>
        <w:rPr>
          <w:sz w:val="20"/>
          <w:szCs w:val="20"/>
          <w:color w:val="auto"/>
        </w:rPr>
      </w:pPr>
      <w:r>
        <w:rPr>
          <w:rFonts w:ascii="Times New Roman" w:cs="Times New Roman" w:eastAsia="Times New Roman" w:hAnsi="Times New Roman"/>
          <w:sz w:val="17"/>
          <w:szCs w:val="17"/>
          <w:color w:val="auto"/>
        </w:rPr>
        <w:t>BANK OF AMERICA, N.A.,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LaPorte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Robert LaPorte</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742" w:right="1440" w:bottom="1440" w:gutter="0" w:footer="0" w:header="0"/>
        </w:sectPr>
      </w:pPr>
    </w:p>
    <w:bookmarkStart w:id="402" w:name="page403"/>
    <w:bookmarkEnd w:id="402"/>
    <w:p>
      <w:pPr>
        <w:ind w:left="4100"/>
        <w:spacing w:after="0"/>
        <w:rPr>
          <w:sz w:val="20"/>
          <w:szCs w:val="20"/>
          <w:color w:val="auto"/>
        </w:rPr>
      </w:pPr>
      <w:r>
        <w:rPr>
          <w:rFonts w:ascii="Times New Roman" w:cs="Times New Roman" w:eastAsia="Times New Roman" w:hAnsi="Times New Roman"/>
          <w:sz w:val="18"/>
          <w:szCs w:val="18"/>
          <w:color w:val="auto"/>
        </w:rPr>
        <w:t>BANK OF AMERICA, N.A., as Administrative Agent</w:t>
      </w:r>
    </w:p>
    <w:p>
      <w:pPr>
        <w:spacing w:after="0" w:line="200" w:lineRule="exact"/>
        <w:rPr>
          <w:sz w:val="20"/>
          <w:szCs w:val="20"/>
          <w:color w:val="auto"/>
        </w:rPr>
      </w:pP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Sheri Starbuck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Sheri Starbuck</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742" w:right="1440" w:bottom="1440" w:gutter="0" w:footer="0" w:header="0"/>
        </w:sectPr>
      </w:pPr>
    </w:p>
    <w:bookmarkStart w:id="403" w:name="page404"/>
    <w:bookmarkEnd w:id="403"/>
    <w:p>
      <w:pPr>
        <w:ind w:left="4100"/>
        <w:spacing w:after="0"/>
        <w:rPr>
          <w:sz w:val="20"/>
          <w:szCs w:val="20"/>
          <w:color w:val="auto"/>
        </w:rPr>
      </w:pPr>
      <w:r>
        <w:rPr>
          <w:rFonts w:ascii="Times New Roman" w:cs="Times New Roman" w:eastAsia="Times New Roman" w:hAnsi="Times New Roman"/>
          <w:sz w:val="17"/>
          <w:szCs w:val="17"/>
          <w:color w:val="auto"/>
        </w:rPr>
        <w:t>JP MORGAN CHASE BANK, N.A.,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Deborah R. Winkler</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Deborah R. Winkler</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742" w:right="1440" w:bottom="1440" w:gutter="0" w:footer="0" w:header="0"/>
        </w:sectPr>
      </w:pPr>
    </w:p>
    <w:bookmarkStart w:id="404" w:name="page405"/>
    <w:bookmarkEnd w:id="404"/>
    <w:p>
      <w:pPr>
        <w:ind w:left="4100"/>
        <w:spacing w:after="0"/>
        <w:rPr>
          <w:sz w:val="20"/>
          <w:szCs w:val="20"/>
          <w:color w:val="auto"/>
        </w:rPr>
      </w:pPr>
      <w:r>
        <w:rPr>
          <w:rFonts w:ascii="Times New Roman" w:cs="Times New Roman" w:eastAsia="Times New Roman" w:hAnsi="Times New Roman"/>
          <w:sz w:val="17"/>
          <w:szCs w:val="17"/>
          <w:color w:val="auto"/>
        </w:rPr>
        <w:t>THE BANK OF TOKYO-MITSUBISHI UFJ, LTD.,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Jaime Sussman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Jaime Sussman</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019"/>
          </w:cols>
          <w:pgMar w:left="1440" w:top="743" w:right="1440" w:bottom="1440" w:gutter="0" w:footer="0" w:header="0"/>
        </w:sectPr>
      </w:pPr>
    </w:p>
    <w:bookmarkStart w:id="405" w:name="page406"/>
    <w:bookmarkEnd w:id="405"/>
    <w:p>
      <w:pPr>
        <w:ind w:left="4100"/>
        <w:spacing w:after="0"/>
        <w:rPr>
          <w:sz w:val="20"/>
          <w:szCs w:val="20"/>
          <w:color w:val="auto"/>
        </w:rPr>
      </w:pPr>
      <w:r>
        <w:rPr>
          <w:rFonts w:ascii="Times New Roman" w:cs="Times New Roman" w:eastAsia="Times New Roman" w:hAnsi="Times New Roman"/>
          <w:sz w:val="17"/>
          <w:szCs w:val="17"/>
          <w:color w:val="auto"/>
        </w:rPr>
        <w:t>PNC BANK, N.A., as a Lender</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Tracy J. DeCock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Tracy J. DeCock</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9019"/>
          </w:cols>
          <w:pgMar w:left="1440" w:top="742" w:right="1440"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5351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99695</wp:posOffset>
            </wp:positionV>
            <wp:extent cx="5351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b w:val="1"/>
          <w:bCs w:val="1"/>
          <w:color w:val="auto"/>
        </w:rPr>
        <w:t>AMENDED AND RESTATED RECEIVABLES PURCHASE AGREEMENT</w:t>
      </w:r>
    </w:p>
    <w:p>
      <w:pPr>
        <w:spacing w:after="0" w:line="27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Dated as of January 27, 2015</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among</w:t>
      </w:r>
    </w:p>
    <w:p>
      <w:pPr>
        <w:spacing w:after="0" w:line="27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b w:val="1"/>
          <w:bCs w:val="1"/>
          <w:color w:val="auto"/>
        </w:rPr>
        <w:t>MYLAN PHARMACEUTICALS INC.,</w:t>
      </w:r>
    </w:p>
    <w:p>
      <w:pPr>
        <w:spacing w:after="0" w:line="27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individually and as Servicer,</w:t>
      </w:r>
    </w:p>
    <w:p>
      <w:pPr>
        <w:spacing w:after="0" w:line="27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b w:val="1"/>
          <w:bCs w:val="1"/>
          <w:color w:val="auto"/>
        </w:rPr>
        <w:t>MYLAN SECURITIZATION LLC</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as Seller,</w:t>
      </w:r>
    </w:p>
    <w:p>
      <w:pPr>
        <w:spacing w:after="0" w:line="270" w:lineRule="exact"/>
        <w:rPr>
          <w:sz w:val="20"/>
          <w:szCs w:val="20"/>
          <w:color w:val="auto"/>
        </w:rPr>
      </w:pPr>
    </w:p>
    <w:p>
      <w:pPr>
        <w:jc w:val="center"/>
        <w:ind w:left="720" w:right="1920"/>
        <w:spacing w:after="0" w:line="487" w:lineRule="auto"/>
        <w:rPr>
          <w:sz w:val="20"/>
          <w:szCs w:val="20"/>
          <w:color w:val="auto"/>
        </w:rPr>
      </w:pPr>
      <w:r>
        <w:rPr>
          <w:rFonts w:ascii="Times New Roman" w:cs="Times New Roman" w:eastAsia="Times New Roman" w:hAnsi="Times New Roman"/>
          <w:sz w:val="22"/>
          <w:szCs w:val="22"/>
          <w:b w:val="1"/>
          <w:bCs w:val="1"/>
          <w:color w:val="auto"/>
        </w:rPr>
        <w:t>THE CONDUIT PURCHASERS FROM TIME TO TIME PARTY HERETO, THE COMMITTED PURCHASERS FROM TIME TO TIME PARTY HERETO, THE PURCHASER AGENTS FROM TIME TO TIME PARTY HERETO, THE LOC ISSUERS FROM TIME TO TIME PARTY HERETO</w:t>
      </w:r>
    </w:p>
    <w:p>
      <w:pPr>
        <w:spacing w:after="0" w:line="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and</w:t>
      </w:r>
    </w:p>
    <w:p>
      <w:pPr>
        <w:spacing w:after="0" w:line="25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THE BANK OF TOKYO-MITSUBISHI UFJ, LTD., NEW YORK BRANCH,</w:t>
      </w:r>
    </w:p>
    <w:p>
      <w:pPr>
        <w:spacing w:after="0" w:line="22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1220470</wp:posOffset>
            </wp:positionV>
            <wp:extent cx="5351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1134745</wp:posOffset>
            </wp:positionV>
            <wp:extent cx="5351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407" w:name="page408"/>
    <w:bookmarkEnd w:id="407"/>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56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PURCHASES AND REINVESTMENTS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Limits on Purchasers’ and LOC Issuer’s</w:t>
            </w:r>
          </w:p>
        </w:tc>
        <w:tc>
          <w:tcPr>
            <w:tcW w:w="236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Procedures; Funded Purchases and LOC Purchases;</w:t>
            </w:r>
          </w:p>
        </w:tc>
        <w:tc>
          <w:tcPr>
            <w:tcW w:w="236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Assignment of Purchasers’ Interests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Reinvestments of Certain Collections; Payment of Remaining</w:t>
            </w:r>
          </w:p>
        </w:tc>
        <w:tc>
          <w:tcPr>
            <w:tcW w:w="236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Collections; Asset Interest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9</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1.4</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Purchasers’ Total Commitment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Letters of Credit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1.6</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Letter of Credit Group Disbursements, Reimbursement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1.7</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Letter of Credit Participation Advances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1.8</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Documentation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Determination to Honor Drawing Request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1.10</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Nature of Participation and Reimbursement Obligations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[Reserved]</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19</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Acts and Omissions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19</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1.13</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or Reduction of Letters of Credit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1.14</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Forms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21</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COMPUTATIONAL RULES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Selection of Rate Tranches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22</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Computation of each Purchaser’s Investment and each</w:t>
            </w:r>
          </w:p>
        </w:tc>
        <w:tc>
          <w:tcPr>
            <w:tcW w:w="236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Purchaser’s Tranche Investment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Computation of Concentration Limit and Unpaid Balance</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Computation of Yield</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2.5</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Estimates of Yield Rate, Fees, Etc</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2.6</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Defaulting Purchasers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24</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III</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SETTLEMENTS</w:t>
            </w:r>
          </w:p>
        </w:tc>
        <w:tc>
          <w:tcPr>
            <w:tcW w:w="6060" w:type="dxa"/>
            <w:vAlign w:val="bottom"/>
          </w:tcPr>
          <w:p>
            <w:pPr>
              <w:spacing w:after="0"/>
              <w:rPr>
                <w:sz w:val="24"/>
                <w:szCs w:val="24"/>
                <w:color w:val="auto"/>
              </w:rPr>
            </w:pP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Procedures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27</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Deemed Collections; Reduction of Purchasers’ Total</w:t>
            </w:r>
          </w:p>
        </w:tc>
        <w:tc>
          <w:tcPr>
            <w:tcW w:w="236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Etc</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3.3</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and Computations, Etc</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3.4</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Treatment of Collections and Deemed Collections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33</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IV</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FEES AND YIELD PROTECTION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Yield Protection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4.3</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Losses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36</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CONDITIONS OF PURCHASES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5.1</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 Date; Conditions Precedent to Initial Purchase</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1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5.2</w:t>
            </w:r>
          </w:p>
        </w:tc>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Conditions Precedent to All Purchases and Reinvestments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38</w:t>
            </w:r>
          </w:p>
        </w:tc>
      </w:tr>
    </w:tbl>
    <w:p>
      <w:pPr>
        <w:spacing w:after="0" w:line="200" w:lineRule="exact"/>
        <w:rPr>
          <w:sz w:val="20"/>
          <w:szCs w:val="20"/>
          <w:color w:val="auto"/>
        </w:rPr>
      </w:pPr>
    </w:p>
    <w:p>
      <w:pPr>
        <w:sectPr>
          <w:pgSz w:w="11900" w:h="16838" w:orient="portrait"/>
          <w:cols w:equalWidth="0" w:num="1">
            <w:col w:w="11160"/>
          </w:cols>
          <w:pgMar w:left="280" w:top="378" w:right="4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60"/>
          </w:cols>
          <w:pgMar w:left="280" w:top="378" w:right="459" w:bottom="1440" w:gutter="0" w:footer="0" w:header="0"/>
          <w:type w:val="continuous"/>
        </w:sectPr>
      </w:pPr>
    </w:p>
    <w:bookmarkStart w:id="408" w:name="page409"/>
    <w:bookmarkEnd w:id="408"/>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96"/>
              </w:rPr>
              <w:t>Page</w:t>
            </w:r>
          </w:p>
        </w:tc>
        <w:tc>
          <w:tcPr>
            <w:tcW w:w="0" w:type="dxa"/>
            <w:vAlign w:val="bottom"/>
          </w:tcPr>
          <w:p>
            <w:pPr>
              <w:spacing w:after="0"/>
              <w:rPr>
                <w:sz w:val="1"/>
                <w:szCs w:val="1"/>
                <w:color w:val="auto"/>
              </w:rPr>
            </w:pPr>
          </w:p>
        </w:tc>
      </w:tr>
      <w:tr>
        <w:trPr>
          <w:trHeight w:val="56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REPRESENTATIONS AND WARRANTIES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Representations and Warranties of Seller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Representations and Warranties of MPI, Individually and as</w:t>
            </w: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608"/>
        </w:trPr>
        <w:tc>
          <w:tcPr>
            <w:tcW w:w="1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ARTICLE VII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COVENANTS OF SELLER AND Servicer</w:t>
            </w:r>
          </w:p>
        </w:tc>
        <w:tc>
          <w:tcPr>
            <w:tcW w:w="2360" w:type="dxa"/>
            <w:vAlign w:val="bottom"/>
            <w:vMerge w:val="restart"/>
          </w:tcPr>
          <w:p>
            <w:pPr>
              <w:ind w:left="204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08"/>
        </w:trPr>
        <w:tc>
          <w:tcPr>
            <w:tcW w:w="15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Affirmative Covenants of Seller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Reporting Requirements of Seller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7.3</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Negative Covenants of Seller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7.4</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Affirmative Covenants of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7.5</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Reporting Requirements of MPI, Individually and as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7.6</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Negative Covenants of MPI, Individually and as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7.7</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Full Recourse</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7.8</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Separateness; Related Matters and Covenants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VIII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ADMINISTRATION AND COLLECTION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Designation of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Duties of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8.3</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Resignation of MPI as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8.4</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Rights of Agent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8.5</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Responsibilities of Servicer</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8.6</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Further Action Evidencing Purchases and Reinvestments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8.7</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Application of Collections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IX</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SECURITY INTEREST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Grant of Security Interest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Further Assurances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EVENTS OF DEFAULT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Events of Default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Remedies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XI</w:t>
            </w: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AGENT; CERTAIN RELATED MATTERS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11.1</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Authorization and Action of each Purchaser Agent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11.2</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Authorization and Action of Agent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11.3</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Delegation of Duties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11.4</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Termination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11.5</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Successor Agent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11.6</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Indemnification</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11.7</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Limited Liability of Purchasers, Purchaser Agents and Agent</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11.8</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Reliance, Etc</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11.9</w:t>
            </w:r>
          </w:p>
        </w:tc>
        <w:tc>
          <w:tcPr>
            <w:tcW w:w="64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Purchasers and Affiliates</w:t>
            </w:r>
          </w:p>
        </w:tc>
        <w:tc>
          <w:tcPr>
            <w:tcW w:w="236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80" w:top="378" w:right="4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160"/>
          </w:cols>
          <w:pgMar w:left="280" w:top="378" w:right="459" w:bottom="1440" w:gutter="0" w:footer="0" w:header="0"/>
          <w:type w:val="continuous"/>
        </w:sectPr>
      </w:pPr>
    </w:p>
    <w:bookmarkStart w:id="409" w:name="page410"/>
    <w:bookmarkEnd w:id="409"/>
    <w:tbl>
      <w:tblPr>
        <w:tblLayout w:type="fixed"/>
        <w:tblInd w:w="0" w:type="dxa"/>
        <w:tblCellMar>
          <w:top w:w="0" w:type="dxa"/>
          <w:left w:w="0" w:type="dxa"/>
          <w:bottom w:w="0" w:type="dxa"/>
          <w:right w:w="0" w:type="dxa"/>
        </w:tblCellMar>
      </w:tblPr>
      <w:tr>
        <w:trPr>
          <w:trHeight w:val="257"/>
        </w:trPr>
        <w:tc>
          <w:tcPr>
            <w:tcW w:w="1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500" w:type="dxa"/>
            <w:vAlign w:val="bottom"/>
          </w:tcPr>
          <w:p>
            <w:pPr>
              <w:ind w:left="22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300" w:type="dxa"/>
            <w:vAlign w:val="bottom"/>
          </w:tcPr>
          <w:p>
            <w:pPr>
              <w:spacing w:after="0"/>
              <w:rPr>
                <w:sz w:val="22"/>
                <w:szCs w:val="22"/>
                <w:color w:val="auto"/>
              </w:rPr>
            </w:pPr>
          </w:p>
        </w:tc>
      </w:tr>
      <w:tr>
        <w:trPr>
          <w:trHeight w:val="287"/>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00" w:type="dxa"/>
            <w:vAlign w:val="bottom"/>
          </w:tcPr>
          <w:p>
            <w:pPr>
              <w:ind w:left="2840"/>
              <w:spacing w:after="0"/>
              <w:rPr>
                <w:sz w:val="20"/>
                <w:szCs w:val="20"/>
                <w:color w:val="auto"/>
              </w:rPr>
            </w:pPr>
            <w:r>
              <w:rPr>
                <w:rFonts w:ascii="Times New Roman" w:cs="Times New Roman" w:eastAsia="Times New Roman" w:hAnsi="Times New Roman"/>
                <w:sz w:val="22"/>
                <w:szCs w:val="22"/>
                <w:b w:val="1"/>
                <w:bCs w:val="1"/>
                <w:color w:val="auto"/>
              </w:rPr>
              <w:t>(continued)</w:t>
            </w:r>
          </w:p>
        </w:tc>
        <w:tc>
          <w:tcPr>
            <w:tcW w:w="2300" w:type="dxa"/>
            <w:vAlign w:val="bottom"/>
          </w:tcPr>
          <w:p>
            <w:pPr>
              <w:spacing w:after="0"/>
              <w:rPr>
                <w:sz w:val="24"/>
                <w:szCs w:val="24"/>
                <w:color w:val="auto"/>
              </w:rPr>
            </w:pPr>
          </w:p>
        </w:tc>
      </w:tr>
      <w:tr>
        <w:trPr>
          <w:trHeight w:val="860"/>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56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XII</w:t>
            </w:r>
          </w:p>
        </w:tc>
        <w:tc>
          <w:tcPr>
            <w:tcW w:w="7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INDEMNIFICATION</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12.1</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Indemnities by Seller</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12.2</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Indemnity by Servicer</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86</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XIII</w:t>
            </w:r>
          </w:p>
        </w:tc>
        <w:tc>
          <w:tcPr>
            <w:tcW w:w="7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MISCELLANEOUS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Amendments, Etc</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87</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13.2</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Notices, Etc</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88</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13.3</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Successors and Assigns; Participations; Assignments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88</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13.4</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 Waiver; Remedies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89</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13.5</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Binding Effect; Survival</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13.6</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Costs, Expenses and Taxes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90</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13.7</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 Proceedings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13.8</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Confidentiality</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13.9</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Captions and Cross References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13.10</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Integration</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13.11</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Governing Law</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13.12</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Waiver of Jury Trial</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13.13</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Consent to Jurisdiction; Waiver of Immunities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13.14</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Execution in Counterparts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13.15</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 Recourse Against Other Parties</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13.16</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Pledge to a Federal Reserve Bank</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13.17</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Severability</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13.18</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[Reserved]</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8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13.19</w:t>
            </w:r>
          </w:p>
        </w:tc>
        <w:tc>
          <w:tcPr>
            <w:tcW w:w="6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Amendment and Restatement</w:t>
            </w: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96</w:t>
            </w:r>
          </w:p>
        </w:tc>
      </w:tr>
      <w:tr>
        <w:trPr>
          <w:trHeight w:val="82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APPENDIX A</w:t>
            </w:r>
          </w:p>
        </w:tc>
        <w:tc>
          <w:tcPr>
            <w:tcW w:w="840" w:type="dxa"/>
            <w:vAlign w:val="bottom"/>
          </w:tcPr>
          <w:p>
            <w:pPr>
              <w:spacing w:after="0"/>
              <w:rPr>
                <w:sz w:val="24"/>
                <w:szCs w:val="24"/>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Definitions</w:t>
            </w:r>
          </w:p>
        </w:tc>
        <w:tc>
          <w:tcPr>
            <w:tcW w:w="2300" w:type="dxa"/>
            <w:vAlign w:val="bottom"/>
          </w:tcPr>
          <w:p>
            <w:pPr>
              <w:spacing w:after="0"/>
              <w:rPr>
                <w:sz w:val="24"/>
                <w:szCs w:val="24"/>
                <w:color w:val="auto"/>
              </w:rPr>
            </w:pPr>
          </w:p>
        </w:tc>
      </w:tr>
      <w:tr>
        <w:trPr>
          <w:trHeight w:val="59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ANNEX A</w:t>
            </w:r>
          </w:p>
        </w:tc>
        <w:tc>
          <w:tcPr>
            <w:tcW w:w="840" w:type="dxa"/>
            <w:vAlign w:val="bottom"/>
          </w:tcPr>
          <w:p>
            <w:pPr>
              <w:spacing w:after="0"/>
              <w:rPr>
                <w:sz w:val="24"/>
                <w:szCs w:val="24"/>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Form of Purchase Notice</w:t>
            </w:r>
          </w:p>
        </w:tc>
        <w:tc>
          <w:tcPr>
            <w:tcW w:w="2300" w:type="dxa"/>
            <w:vAlign w:val="bottom"/>
          </w:tcPr>
          <w:p>
            <w:pPr>
              <w:spacing w:after="0"/>
              <w:rPr>
                <w:sz w:val="24"/>
                <w:szCs w:val="24"/>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ANNEX B</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Form of Letter of Credit Application</w:t>
            </w:r>
          </w:p>
        </w:tc>
        <w:tc>
          <w:tcPr>
            <w:tcW w:w="2300" w:type="dxa"/>
            <w:vAlign w:val="bottom"/>
          </w:tcPr>
          <w:p>
            <w:pPr>
              <w:spacing w:after="0"/>
              <w:rPr>
                <w:sz w:val="23"/>
                <w:szCs w:val="23"/>
                <w:color w:val="auto"/>
              </w:rPr>
            </w:pPr>
          </w:p>
        </w:tc>
      </w:tr>
      <w:tr>
        <w:trPr>
          <w:trHeight w:val="59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SCHEDULE 6.1(f)</w:t>
            </w:r>
          </w:p>
        </w:tc>
        <w:tc>
          <w:tcPr>
            <w:tcW w:w="840" w:type="dxa"/>
            <w:vAlign w:val="bottom"/>
          </w:tcPr>
          <w:p>
            <w:pPr>
              <w:spacing w:after="0"/>
              <w:rPr>
                <w:sz w:val="24"/>
                <w:szCs w:val="24"/>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Disclosed Matters</w:t>
            </w:r>
          </w:p>
        </w:tc>
        <w:tc>
          <w:tcPr>
            <w:tcW w:w="2300" w:type="dxa"/>
            <w:vAlign w:val="bottom"/>
          </w:tcPr>
          <w:p>
            <w:pPr>
              <w:spacing w:after="0"/>
              <w:rPr>
                <w:sz w:val="24"/>
                <w:szCs w:val="24"/>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SCHEDULE 6.1(l)</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UCC Details</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SCHEDULE 6.1(m)</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Lock-Box Information</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SCHEDULE 6.2(m)</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Credit and Collection Policy</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SCHEDULE 13.2</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Addresses for Notices</w:t>
            </w:r>
          </w:p>
        </w:tc>
        <w:tc>
          <w:tcPr>
            <w:tcW w:w="2300" w:type="dxa"/>
            <w:vAlign w:val="bottom"/>
          </w:tcPr>
          <w:p>
            <w:pPr>
              <w:spacing w:after="0"/>
              <w:rPr>
                <w:sz w:val="23"/>
                <w:szCs w:val="23"/>
                <w:color w:val="auto"/>
              </w:rPr>
            </w:pPr>
          </w:p>
        </w:tc>
      </w:tr>
      <w:tr>
        <w:trPr>
          <w:trHeight w:val="594"/>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EXHIBIT 3.1(a)</w:t>
            </w:r>
          </w:p>
        </w:tc>
        <w:tc>
          <w:tcPr>
            <w:tcW w:w="840" w:type="dxa"/>
            <w:vAlign w:val="bottom"/>
          </w:tcPr>
          <w:p>
            <w:pPr>
              <w:spacing w:after="0"/>
              <w:rPr>
                <w:sz w:val="24"/>
                <w:szCs w:val="24"/>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Form of Information Package</w:t>
            </w:r>
          </w:p>
        </w:tc>
        <w:tc>
          <w:tcPr>
            <w:tcW w:w="2300" w:type="dxa"/>
            <w:vAlign w:val="bottom"/>
          </w:tcPr>
          <w:p>
            <w:pPr>
              <w:spacing w:after="0"/>
              <w:rPr>
                <w:sz w:val="24"/>
                <w:szCs w:val="24"/>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EXHIBIT 7.5(a)(iii)</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Compliance Certificate</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EXHIBIT 7.5(k)</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Contractual Dilution Estimate Information</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EXHIBIT 10.1</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Form of Side Letter</w:t>
            </w:r>
          </w:p>
        </w:tc>
        <w:tc>
          <w:tcPr>
            <w:tcW w:w="23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EXHIBIT 10.1-A</w:t>
            </w:r>
          </w:p>
        </w:tc>
        <w:tc>
          <w:tcPr>
            <w:tcW w:w="840" w:type="dxa"/>
            <w:vAlign w:val="bottom"/>
          </w:tcPr>
          <w:p>
            <w:pPr>
              <w:spacing w:after="0"/>
              <w:rPr>
                <w:sz w:val="23"/>
                <w:szCs w:val="23"/>
                <w:color w:val="auto"/>
              </w:rPr>
            </w:pPr>
          </w:p>
        </w:tc>
        <w:tc>
          <w:tcPr>
            <w:tcW w:w="65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Form of Extension Request</w:t>
            </w:r>
          </w:p>
        </w:tc>
        <w:tc>
          <w:tcPr>
            <w:tcW w:w="23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160"/>
          </w:cols>
          <w:pgMar w:left="280" w:top="379" w:right="45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1160"/>
          </w:cols>
          <w:pgMar w:left="280" w:top="379" w:right="459" w:bottom="1440" w:gutter="0" w:footer="0" w:header="0"/>
          <w:type w:val="continuous"/>
        </w:sectPr>
      </w:pPr>
    </w:p>
    <w:bookmarkStart w:id="410" w:name="page411"/>
    <w:bookmarkEnd w:id="410"/>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RECEIVABLES PURCHASE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AMENDED AND RESTATED RECEIVABLES PURCHASE AGREEMENT</w:t>
      </w:r>
      <w:r>
        <w:rPr>
          <w:rFonts w:ascii="Times New Roman" w:cs="Times New Roman" w:eastAsia="Times New Roman" w:hAnsi="Times New Roman"/>
          <w:sz w:val="18"/>
          <w:szCs w:val="18"/>
          <w:color w:val="auto"/>
        </w:rPr>
        <w:t xml:space="preserve"> dated as of January 27, 2015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Mylan Pharmaceuticals Inc., a West Virginia corporation (“</w:t>
      </w:r>
      <w:r>
        <w:rPr>
          <w:rFonts w:ascii="Times New Roman" w:cs="Times New Roman" w:eastAsia="Times New Roman" w:hAnsi="Times New Roman"/>
          <w:sz w:val="18"/>
          <w:szCs w:val="18"/>
          <w:u w:val="single" w:color="auto"/>
          <w:color w:val="auto"/>
        </w:rPr>
        <w:t>MPI</w:t>
      </w:r>
      <w:r>
        <w:rPr>
          <w:rFonts w:ascii="Times New Roman" w:cs="Times New Roman" w:eastAsia="Times New Roman" w:hAnsi="Times New Roman"/>
          <w:sz w:val="18"/>
          <w:szCs w:val="18"/>
          <w:color w:val="auto"/>
        </w:rPr>
        <w:t>”), individually and as initial Servicer, Mylan Securitization LLC, a Delaware limited liability company, as seller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Victory Receivables Corporation, a Delaware corporation (“</w:t>
      </w:r>
      <w:r>
        <w:rPr>
          <w:rFonts w:ascii="Times New Roman" w:cs="Times New Roman" w:eastAsia="Times New Roman" w:hAnsi="Times New Roman"/>
          <w:sz w:val="18"/>
          <w:szCs w:val="18"/>
          <w:u w:val="single" w:color="auto"/>
          <w:color w:val="auto"/>
        </w:rPr>
        <w:t>Victory</w:t>
      </w:r>
      <w:r>
        <w:rPr>
          <w:rFonts w:ascii="Times New Roman" w:cs="Times New Roman" w:eastAsia="Times New Roman" w:hAnsi="Times New Roman"/>
          <w:sz w:val="18"/>
          <w:szCs w:val="18"/>
          <w:color w:val="auto"/>
        </w:rPr>
        <w:t>”), as a conduit purchaser and the other conduit purchasers from time to time party hereto (each individually, a “</w:t>
      </w:r>
      <w:r>
        <w:rPr>
          <w:rFonts w:ascii="Times New Roman" w:cs="Times New Roman" w:eastAsia="Times New Roman" w:hAnsi="Times New Roman"/>
          <w:sz w:val="18"/>
          <w:szCs w:val="18"/>
          <w:u w:val="single" w:color="auto"/>
          <w:color w:val="auto"/>
        </w:rPr>
        <w:t>Conduit Purchaser</w:t>
      </w:r>
      <w:r>
        <w:rPr>
          <w:rFonts w:ascii="Times New Roman" w:cs="Times New Roman" w:eastAsia="Times New Roman" w:hAnsi="Times New Roman"/>
          <w:sz w:val="18"/>
          <w:szCs w:val="18"/>
          <w:color w:val="auto"/>
        </w:rPr>
        <w:t>” and collectively with Victory, “</w:t>
      </w:r>
      <w:r>
        <w:rPr>
          <w:rFonts w:ascii="Times New Roman" w:cs="Times New Roman" w:eastAsia="Times New Roman" w:hAnsi="Times New Roman"/>
          <w:sz w:val="18"/>
          <w:szCs w:val="18"/>
          <w:u w:val="single" w:color="auto"/>
          <w:color w:val="auto"/>
        </w:rPr>
        <w:t>Conduit Purchasers</w:t>
      </w:r>
      <w:r>
        <w:rPr>
          <w:rFonts w:ascii="Times New Roman" w:cs="Times New Roman" w:eastAsia="Times New Roman" w:hAnsi="Times New Roman"/>
          <w:sz w:val="18"/>
          <w:szCs w:val="18"/>
          <w:color w:val="auto"/>
        </w:rPr>
        <w:t>”), PNC Bank, National Association, a national banking association (“</w:t>
      </w:r>
      <w:r>
        <w:rPr>
          <w:rFonts w:ascii="Times New Roman" w:cs="Times New Roman" w:eastAsia="Times New Roman" w:hAnsi="Times New Roman"/>
          <w:sz w:val="18"/>
          <w:szCs w:val="18"/>
          <w:u w:val="single" w:color="auto"/>
          <w:color w:val="auto"/>
        </w:rPr>
        <w:t>PNC</w:t>
      </w:r>
      <w:r>
        <w:rPr>
          <w:rFonts w:ascii="Times New Roman" w:cs="Times New Roman" w:eastAsia="Times New Roman" w:hAnsi="Times New Roman"/>
          <w:sz w:val="18"/>
          <w:szCs w:val="18"/>
          <w:color w:val="auto"/>
        </w:rPr>
        <w:t>”), as a committed purchaser, The Bank of Tokyo-Mitsubishi UFJ, Ltd., New York Branch, a Japanese banking corporation acting through its New York Branch (“</w:t>
      </w:r>
      <w:r>
        <w:rPr>
          <w:rFonts w:ascii="Times New Roman" w:cs="Times New Roman" w:eastAsia="Times New Roman" w:hAnsi="Times New Roman"/>
          <w:sz w:val="18"/>
          <w:szCs w:val="18"/>
          <w:u w:val="single" w:color="auto"/>
          <w:color w:val="auto"/>
        </w:rPr>
        <w:t>BTMUNY</w:t>
      </w:r>
      <w:r>
        <w:rPr>
          <w:rFonts w:ascii="Times New Roman" w:cs="Times New Roman" w:eastAsia="Times New Roman" w:hAnsi="Times New Roman"/>
          <w:sz w:val="18"/>
          <w:szCs w:val="18"/>
          <w:color w:val="auto"/>
        </w:rPr>
        <w:t>”), as a committed purchaser and the other committed purchasers from time to time party hereto (each individually, a “</w:t>
      </w:r>
      <w:r>
        <w:rPr>
          <w:rFonts w:ascii="Times New Roman" w:cs="Times New Roman" w:eastAsia="Times New Roman" w:hAnsi="Times New Roman"/>
          <w:sz w:val="18"/>
          <w:szCs w:val="18"/>
          <w:u w:val="single" w:color="auto"/>
          <w:color w:val="auto"/>
        </w:rPr>
        <w:t>Committed Purchaser</w:t>
      </w:r>
      <w:r>
        <w:rPr>
          <w:rFonts w:ascii="Times New Roman" w:cs="Times New Roman" w:eastAsia="Times New Roman" w:hAnsi="Times New Roman"/>
          <w:sz w:val="18"/>
          <w:szCs w:val="18"/>
          <w:color w:val="auto"/>
        </w:rPr>
        <w:t>” and collectively with PNC and BTMUNY, “</w:t>
      </w:r>
      <w:r>
        <w:rPr>
          <w:rFonts w:ascii="Times New Roman" w:cs="Times New Roman" w:eastAsia="Times New Roman" w:hAnsi="Times New Roman"/>
          <w:sz w:val="18"/>
          <w:szCs w:val="18"/>
          <w:u w:val="single" w:color="auto"/>
          <w:color w:val="auto"/>
        </w:rPr>
        <w:t>Committed Purchasers</w:t>
      </w:r>
      <w:r>
        <w:rPr>
          <w:rFonts w:ascii="Times New Roman" w:cs="Times New Roman" w:eastAsia="Times New Roman" w:hAnsi="Times New Roman"/>
          <w:sz w:val="18"/>
          <w:szCs w:val="18"/>
          <w:color w:val="auto"/>
        </w:rPr>
        <w:t>” and collectively with the Conduit Purchasers,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PNC, as a purchaser agent (it being understood on the date hereof the PNC Group does not have a Conduit Purchaser), BTMUNY, as a purchaser agent and the other purchaser agents from time to time party hereto (each individually, a “</w:t>
      </w:r>
      <w:r>
        <w:rPr>
          <w:rFonts w:ascii="Times New Roman" w:cs="Times New Roman" w:eastAsia="Times New Roman" w:hAnsi="Times New Roman"/>
          <w:sz w:val="18"/>
          <w:szCs w:val="18"/>
          <w:u w:val="single" w:color="auto"/>
          <w:color w:val="auto"/>
        </w:rPr>
        <w:t>Purchaser Agent</w:t>
      </w:r>
      <w:r>
        <w:rPr>
          <w:rFonts w:ascii="Times New Roman" w:cs="Times New Roman" w:eastAsia="Times New Roman" w:hAnsi="Times New Roman"/>
          <w:sz w:val="18"/>
          <w:szCs w:val="18"/>
          <w:color w:val="auto"/>
        </w:rPr>
        <w:t>” and collectively with PNC and BTMUNY, “</w:t>
      </w:r>
      <w:r>
        <w:rPr>
          <w:rFonts w:ascii="Times New Roman" w:cs="Times New Roman" w:eastAsia="Times New Roman" w:hAnsi="Times New Roman"/>
          <w:sz w:val="18"/>
          <w:szCs w:val="18"/>
          <w:u w:val="single" w:color="auto"/>
          <w:color w:val="auto"/>
        </w:rPr>
        <w:t>Purchaser Agents</w:t>
      </w:r>
      <w:r>
        <w:rPr>
          <w:rFonts w:ascii="Times New Roman" w:cs="Times New Roman" w:eastAsia="Times New Roman" w:hAnsi="Times New Roman"/>
          <w:sz w:val="18"/>
          <w:szCs w:val="18"/>
          <w:color w:val="auto"/>
        </w:rPr>
        <w:t>”), BTMUNY, as agent on behalf of the Secured Parties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the several financial institutions identified on the signature pages hereto as “LOC Issuers” for their respective applicable LOC Groups, and each of the other members of each Group party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 A C K G R O U N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hanging="324"/>
        <w:spacing w:after="0"/>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Originator has, and expects to have, Receivables which Originator intends to sell or contribute to Seller pursuant to the Sale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a special purpose, bankruptcy remote, limited liability company and wholly-owned subsidiary of MPI.</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2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in turn, intends to sell to Agent, on behalf of Purchasers and the related LOC Issuer, as applicable, the Receivables and certain other related assets which Seller is acquiring from Originator.</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97"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requested that Agent on behalf of Purchasers and each LOC Issuer, as applicable, and Agent on behalf of Purchasers and each LOC Issuer, as applicable, has agreed, subject to the terms and conditions contained in this Agreement, to purchase such Receivables, the Related Assets and the proceeds of the foregoing, referred to herein as the Asset Interest, from Seller from time to time during the term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97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will pay the purchase price for the Receivables and other related assets in cash or by having the related LOC Issuer issue Letters of Credit on behalf of such Purchasers in accordance with the terms and conditions herein, in which case, the Committed Purchasers shall participate in such Letters of Credit issued by the related LOC Issuer as described herein.</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97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Purchasers, LOC Issuer and Agent also desire that, subject to the terms and conditions of this Agreement, certain of the daily Collections in respect of the Asset Interest be reinvested in Pool Receivables, which reinvestment shall constitute part of the Asset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720"/>
        <w:spacing w:after="0"/>
        <w:tabs>
          <w:tab w:leader="none" w:pos="105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0" w:right="239" w:bottom="1440" w:gutter="0" w:footer="0" w:header="0"/>
        </w:sectPr>
      </w:pPr>
    </w:p>
    <w:bookmarkStart w:id="411" w:name="page412"/>
    <w:bookmarkEnd w:id="411"/>
    <w:p>
      <w:pPr>
        <w:ind w:left="1000" w:hanging="344"/>
        <w:spacing w:after="0"/>
        <w:tabs>
          <w:tab w:leader="none" w:pos="100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Purchasers, LOC Issuer and Agent also desire that, pursuant to the terms hereof, MPI be appointed, and act, as the initial Servicer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Purchasers, LOC Issuer and Agent also desire that the Performance Guarantor guarantee the obligations of Originator and Servicer under the Transaction Documents in accordance with the terms of the Performance Guaranty.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BTMUNY has been requested, and is willing, to act as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desire to amend and restate that certain Receivables Purchase Agreement, dated as of February 21, 2012, among each of the parties to this Agreement and certain other parties (as amended, supplemented or otherwise modified prior to the date hereof,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on the terms and conditions hereinafter set forth.</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the mutual agreements herein contained, the parties hereto agree as follows: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and not otherwise defined in this Agreement are used as defined in (or by reference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the other interpretive provisions set out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shall be applied in the 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PURCHASES AND REINVESTMENTS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u w:val="single" w:color="auto"/>
          <w:color w:val="auto"/>
        </w:rPr>
        <w:t>Purchases; Limits on Purchasers’ and LOC Issuer’s Obligations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right="20" w:firstLine="645"/>
        <w:spacing w:after="0" w:line="282" w:lineRule="auto"/>
        <w:tabs>
          <w:tab w:leader="none" w:pos="170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w:t>
      </w:r>
      <w:r>
        <w:rPr>
          <w:rFonts w:ascii="Times New Roman" w:cs="Times New Roman" w:eastAsia="Times New Roman" w:hAnsi="Times New Roman"/>
          <w:sz w:val="18"/>
          <w:szCs w:val="18"/>
          <w:color w:val="auto"/>
        </w:rPr>
        <w:t xml:space="preserve">. Upon the terms and subject to the conditions of this Agreement, from time to time prior to the Purchase Termination Date, Seller may either request a Funded Purchase, an LOC Purchase or a combination thereof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Funded Purchases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5" w:lineRule="auto"/>
        <w:tabs>
          <w:tab w:leader="none" w:pos="232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 desires a purchase to be funded all or in part by the Purchasers in cash, upon the terms and subject to the conditions of this Agreement, from time to time prior to the Purchase Termination Date, Seller may request that Agent, on behalf of Conduit Purchasers or, if any Conduit Purchaser is unable or unwilling to make such purchase or if no such Conduit Purchaser exists with respect to a Group, the related Committed Purchaser in such Group, purchase from Seller the Asset Interest and Agent, for any Group that has a Conduit Purchaser, on behalf of Conduit Purchasers or, if any Conduit Purchaser is unable or unwilling to make such purchase or, in the case of any Group that does not have a Conduit Purchaser, the related Committed Purchaser in such Conduit Purchaser’s Group, shall make a purchase (each such payment being a “</w:t>
      </w:r>
      <w:r>
        <w:rPr>
          <w:rFonts w:ascii="Times New Roman" w:cs="Times New Roman" w:eastAsia="Times New Roman" w:hAnsi="Times New Roman"/>
          <w:sz w:val="18"/>
          <w:szCs w:val="18"/>
          <w:u w:val="single" w:color="auto"/>
          <w:color w:val="auto"/>
        </w:rPr>
        <w:t>Funded Purchase</w:t>
      </w:r>
      <w:r>
        <w:rPr>
          <w:rFonts w:ascii="Times New Roman" w:cs="Times New Roman" w:eastAsia="Times New Roman" w:hAnsi="Times New Roman"/>
          <w:sz w:val="18"/>
          <w:szCs w:val="18"/>
          <w:color w:val="auto"/>
        </w:rPr>
        <w:t xml:space="preserve">”) in an amount equal in each instance to the lesser of: (i) the amount requested by Seller to be funded as a Funded Purchase under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and (ii) the largest amount that will not cause any of (after giving effect to</w:t>
      </w:r>
    </w:p>
    <w:p>
      <w:pPr>
        <w:spacing w:after="0" w:line="200" w:lineRule="exact"/>
        <w:rPr>
          <w:sz w:val="20"/>
          <w:szCs w:val="20"/>
          <w:color w:val="auto"/>
        </w:rPr>
      </w:pPr>
    </w:p>
    <w:p>
      <w:pPr>
        <w:spacing w:after="0" w:line="374" w:lineRule="exact"/>
        <w:rPr>
          <w:sz w:val="20"/>
          <w:szCs w:val="20"/>
          <w:color w:val="auto"/>
        </w:rPr>
      </w:pPr>
    </w:p>
    <w:p>
      <w:pPr>
        <w:ind w:left="5720"/>
        <w:spacing w:after="0"/>
        <w:tabs>
          <w:tab w:leader="none" w:pos="105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12" w:name="page413"/>
    <w:bookmarkEnd w:id="412"/>
    <w:p>
      <w:pPr>
        <w:jc w:val="both"/>
        <w:ind w:left="100"/>
        <w:spacing w:after="0" w:line="253" w:lineRule="auto"/>
        <w:rPr>
          <w:sz w:val="20"/>
          <w:szCs w:val="20"/>
          <w:color w:val="auto"/>
        </w:rPr>
      </w:pPr>
      <w:r>
        <w:rPr>
          <w:rFonts w:ascii="Times New Roman" w:cs="Times New Roman" w:eastAsia="Times New Roman" w:hAnsi="Times New Roman"/>
          <w:sz w:val="18"/>
          <w:szCs w:val="18"/>
          <w:color w:val="auto"/>
        </w:rPr>
        <w:t>such Funded Purchase and any other Funded Purchase on such day) (a) in the case of each Conduit Purchaser, such Conduit Purchaser’s Total Investment, plus the Investment of each other Purchaser in such Group to exceed such Group’s Group Limit or, in the case of each Committed Purchaser, such Committed Purchaser’s Total Investment to exceed such Committed Purchaser’s Commitment, (b) the aggregate Purchasers’ Total Investment to exceed the Purchasers’ Total Commitment, or (c) the sum of the aggregate Purchasers’ Total Investment and the Required Reserves to exceed the Net Pool Balance at such time (such amount being the “</w:t>
      </w:r>
      <w:r>
        <w:rPr>
          <w:rFonts w:ascii="Times New Roman" w:cs="Times New Roman" w:eastAsia="Times New Roman" w:hAnsi="Times New Roman"/>
          <w:sz w:val="18"/>
          <w:szCs w:val="18"/>
          <w:u w:val="single" w:color="auto"/>
          <w:color w:val="auto"/>
        </w:rPr>
        <w:t>Funded Purchase Price</w:t>
      </w:r>
      <w:r>
        <w:rPr>
          <w:rFonts w:ascii="Times New Roman" w:cs="Times New Roman" w:eastAsia="Times New Roman" w:hAnsi="Times New Roman"/>
          <w:sz w:val="18"/>
          <w:szCs w:val="18"/>
          <w:color w:val="auto"/>
        </w:rPr>
        <w:t>”). Each Committed Purchaser hereby agrees, on the terms and subject to the conditions hereof, to make Funded Purchases deemed to be so requested by Seller above if its related Conduit Purchaser, if applicable, in such Committed Purchaser’s Group is unable or unwilling to make such Funded Purchase, so long as its Investment after giving effect to such Funded Purchase (and any other Funded Purchase to be made on such date) would not exceed its Commitment or cause the Purchasers’ Total Investment to exceed the Purchasers’ Total Commitment. At no time shall a Conduit Purchaser that is not a Committed Purchaser have any obligation or commitment to make any Funded Purchase. Notwithstanding anything contained herein, at no time shall a Committed Purchaser have an obligation to make any Funded Purchase on or after its related Commitment Termination Date.</w:t>
      </w:r>
    </w:p>
    <w:p>
      <w:pPr>
        <w:spacing w:after="0" w:line="191" w:lineRule="exact"/>
        <w:rPr>
          <w:sz w:val="20"/>
          <w:szCs w:val="20"/>
          <w:color w:val="auto"/>
        </w:rPr>
      </w:pPr>
    </w:p>
    <w:p>
      <w:pPr>
        <w:jc w:val="both"/>
        <w:ind w:left="100" w:firstLine="653"/>
        <w:spacing w:after="0" w:line="261" w:lineRule="auto"/>
        <w:tabs>
          <w:tab w:leader="none" w:pos="117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may, subject to the requirements and conditions herein, use the proceeds of any Funded Purchase hereunder to satisfy its Reimbursement Obligation ratably to the applicable affected LOC Issuer or LOC Issuers (ratably, based on the Stated Amount of the Letters of Credit issued by each such LOC Issuer) and the related Committed Purchasers (ratably, based on the outstanding amounts funded by each such Committed Purchaser to the related LOC Issuer in connection with the applicable LOC Purchase)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53" w:lineRule="auto"/>
        <w:tabs>
          <w:tab w:leader="none" w:pos="128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in the event Seller fails to reimburse any applicable LOC Issuer and each related Committed Purchaser, as applicable, for the full amount of any drawing under any related Letter of Credit on the applicable Drawing Date (out of its own funds available therefor at such time), in accordance with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the terms and conditions of the related Letter of Credit, then Seller shall automatically (and without the requirement of any further action on the part of any Person hereunder) be deemed to have requested a Funded Purchase from the Group or Groups related to such Letter of Credit in accordance with, and subject to the conditions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on such date in an amount equal to the total amount of such Reimbursement Obligation at such time. Subject to the limitations on funding set forth herein and therein, in the case of any Group that has a Conduit Purchaser, the Conduit Purchasers in each applicable Group at their sole and exclusive discretion, or, in the case of any Group that does not have a Conduit Purchaser at such time, the related Committed Purchaser shall make such Funded Purchase in accordance with such deemed purchase request and deliver the proceeds thereof directly to the applicable Purchaser Agent to be distributed (ratably) to the affected LOC Issuer and related Committed Purchaser, as applicable, in satisfaction of Seller’s Reimbursement Obligation pursuant to</w:t>
      </w:r>
    </w:p>
    <w:p>
      <w:pPr>
        <w:spacing w:after="0" w:line="200" w:lineRule="exact"/>
        <w:rPr>
          <w:sz w:val="20"/>
          <w:szCs w:val="20"/>
          <w:color w:val="auto"/>
        </w:rPr>
      </w:pPr>
    </w:p>
    <w:p>
      <w:pPr>
        <w:spacing w:after="0" w:line="381" w:lineRule="exact"/>
        <w:rPr>
          <w:sz w:val="20"/>
          <w:szCs w:val="20"/>
          <w:color w:val="auto"/>
        </w:rPr>
      </w:pPr>
    </w:p>
    <w:p>
      <w:pPr>
        <w:ind w:left="4520"/>
        <w:spacing w:after="0"/>
        <w:tabs>
          <w:tab w:leader="none" w:pos="9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13" w:name="page414"/>
    <w:bookmarkEnd w:id="413"/>
    <w:p>
      <w:pPr>
        <w:jc w:val="both"/>
        <w:ind w:left="100"/>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in each case only to the extent of the amounts permitted to be funded by such Conduit Purchaser at such time, as if such Funded Purchase was requested in accordance with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If any such Conduit Purchaser is unwilling or unable for any reason to make such Funded Purchase, the related Committed Purchaser in the applicable Group shall make such Funded Purchase in accordance with such deemed purchase request in accordance with, and subject to the conditions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deliver the proceeds thereof directly to the applicable Purchaser Agent to be distributed (ratably) to the affected LOC Issuer and related Committed Purchasers, as applicable, in satisfaction of Seller’s Reimbursement Obligation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in each case only to the extent of the amounts permitted to be funded by such Committed Purchasers at such time, as if such Funded Purchase was requested in accordance with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(including that such Funded Purchase will not cause the applicable Committed Purchaser’s Investment to exceed its Commitment). In the event that any such Funded Purchase is not made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because the conditions precedent thereto set forth herein (including in </w:t>
      </w:r>
      <w:r>
        <w:rPr>
          <w:rFonts w:ascii="Times New Roman" w:cs="Times New Roman" w:eastAsia="Times New Roman" w:hAnsi="Times New Roman"/>
          <w:sz w:val="18"/>
          <w:szCs w:val="18"/>
          <w:u w:val="single" w:color="auto"/>
          <w:color w:val="auto"/>
        </w:rPr>
        <w:t>Sections 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have not been satisfied with respect thereto, the applicable Purchaser Agent shall give notice thereof to Servicer.</w:t>
      </w:r>
    </w:p>
    <w:p>
      <w:pPr>
        <w:spacing w:after="0" w:line="186" w:lineRule="exact"/>
        <w:rPr>
          <w:sz w:val="20"/>
          <w:szCs w:val="20"/>
          <w:color w:val="auto"/>
        </w:rPr>
      </w:pPr>
    </w:p>
    <w:p>
      <w:pPr>
        <w:jc w:val="both"/>
        <w:ind w:left="100" w:firstLine="653"/>
        <w:spacing w:after="0" w:line="258" w:lineRule="auto"/>
        <w:tabs>
          <w:tab w:leader="none" w:pos="122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Funded Purchase plus any LOC Purchase made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on any day shall be in an amount at least equal to $40,000,000 for any Funded Purchase or LOC Purchase made when the Purchasers’ Total Investment is zero before giving effect to such Funded Purchase or LOC Purchase and at least $5,000,000 for any Funded Purchase thereafter (unless such Funded Purchase is deemed to be made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and, in each case (including with respect to any LOC Purchase), in integral multiples of $100,000 in excess thereof.</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50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Purchases</w:t>
      </w:r>
      <w:r>
        <w:rPr>
          <w:rFonts w:ascii="Times New Roman" w:cs="Times New Roman" w:eastAsia="Times New Roman" w:hAnsi="Times New Roman"/>
          <w:sz w:val="18"/>
          <w:szCs w:val="18"/>
          <w:color w:val="auto"/>
        </w:rPr>
        <w:t>. If Seller desires a purchase to be funded all or in part by a LOC Issuer by its issuance of standby letters of credit in such form as may be agreed to in writing by the applicable LOC Issuer and Seller from time to time (the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in which each of the Committed Purchasers in the applicable LOC Group will ratably participate in accordance with the terms of this Agreement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as applicable) upon the terms and subject to the conditions of this Agreement, from time to time prior to the earlier of (i) such LOC Issuer’s related Commitment Termination Date and (ii) the Purchase Termination Date, Seller may request the LOC Issuer to issue such Letters of Credit or to extend or renew a previously issued Letter of Credit on its behalf (each such purchase being a “</w:t>
      </w:r>
      <w:r>
        <w:rPr>
          <w:rFonts w:ascii="Times New Roman" w:cs="Times New Roman" w:eastAsia="Times New Roman" w:hAnsi="Times New Roman"/>
          <w:sz w:val="18"/>
          <w:szCs w:val="18"/>
          <w:u w:val="single" w:color="auto"/>
          <w:color w:val="auto"/>
        </w:rPr>
        <w:t>LOC Purchase</w:t>
      </w:r>
      <w:r>
        <w:rPr>
          <w:rFonts w:ascii="Times New Roman" w:cs="Times New Roman" w:eastAsia="Times New Roman" w:hAnsi="Times New Roman"/>
          <w:sz w:val="18"/>
          <w:szCs w:val="18"/>
          <w:color w:val="auto"/>
        </w:rPr>
        <w:t xml:space="preserve">”), with an aggregate Stated Amount of all such Letters of Credit equal in each instance to the lesser of: (i) the amount requested by Seller under </w:t>
      </w:r>
      <w:r>
        <w:rPr>
          <w:rFonts w:ascii="Times New Roman" w:cs="Times New Roman" w:eastAsia="Times New Roman" w:hAnsi="Times New Roman"/>
          <w:sz w:val="18"/>
          <w:szCs w:val="18"/>
          <w:u w:val="single" w:color="auto"/>
          <w:color w:val="auto"/>
        </w:rPr>
        <w:t>Sections 1.2(b)(i)</w:t>
      </w:r>
      <w:r>
        <w:rPr>
          <w:rFonts w:ascii="Times New Roman" w:cs="Times New Roman" w:eastAsia="Times New Roman" w:hAnsi="Times New Roman"/>
          <w:sz w:val="18"/>
          <w:szCs w:val="18"/>
          <w:color w:val="auto"/>
        </w:rPr>
        <w:t xml:space="preserve"> to be made as a LOC Purchase by such LOC Issuer and (ii) the largest amount that will not cause any of (after giving effect to such LOC Purchase and any Funded Purchase on such day) (A) in the case of each Conduit Purchaser, such Conduit Purchaser’s Total Investment, plus the Investment of each other Purchaser in such Group to exceed such Group’s Group Limit, or, in the case of each Committed Purchaser, such Committed Purchaser’s Total Investment to exceed such Committed Purchaser’s Commitment, (B) the then outstanding Stated Amount of all Letters of Credit issued in connection with LOC Purchases to</w:t>
      </w:r>
    </w:p>
    <w:p>
      <w:pPr>
        <w:spacing w:after="0" w:line="200" w:lineRule="exact"/>
        <w:rPr>
          <w:sz w:val="20"/>
          <w:szCs w:val="20"/>
          <w:color w:val="auto"/>
        </w:rPr>
      </w:pPr>
    </w:p>
    <w:p>
      <w:pPr>
        <w:spacing w:after="0" w:line="379" w:lineRule="exact"/>
        <w:rPr>
          <w:sz w:val="20"/>
          <w:szCs w:val="20"/>
          <w:color w:val="auto"/>
        </w:rPr>
      </w:pPr>
    </w:p>
    <w:p>
      <w:pPr>
        <w:ind w:left="4520"/>
        <w:spacing w:after="0"/>
        <w:tabs>
          <w:tab w:leader="none" w:pos="9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14" w:name="page415"/>
    <w:bookmarkEnd w:id="414"/>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 xml:space="preserve">exceed $80,000,000, (C) the applicable LOC Issuance Limit for any LOC Issuer to be exceeded after giving effect to such issuance or (D) the sum of the aggregate Purchasers’ Total Investment and the Required Reserves to exceed the Net Pool Balance at such time, and in each case such that, after giving effect to such LOC Purchase (and the corresponding issuance of Letter(s) of Credit) and any other expiration, reduction, cancellation or reallocation of any other outstanding Letter of Credit on or before such date (including as a result of a deemed purchase under </w:t>
      </w:r>
      <w:r>
        <w:rPr>
          <w:rFonts w:ascii="Times New Roman" w:cs="Times New Roman" w:eastAsia="Times New Roman" w:hAnsi="Times New Roman"/>
          <w:sz w:val="18"/>
          <w:szCs w:val="18"/>
          <w:u w:val="single" w:color="auto"/>
          <w:color w:val="auto"/>
        </w:rPr>
        <w:t>Section 1.6(a)(ii)(A)</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4" w:hanging="4"/>
        <w:spacing w:after="0" w:line="252" w:lineRule="auto"/>
        <w:tabs>
          <w:tab w:leader="none" w:pos="26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the Investment of each Committed Purchaser to the Purchasers’ Total Investment is in the same proportion as the Commitment of such Committed Purchaser to the Purchasers’ Total Commitment, (2) each LOC Issuer only has LOC Participation Obligations from the Committed Purchasers in its LOC Group, (3) each Committed Purchaser only has LOC Participation Obligations to the LOC Issuer(s) in its LOC Group in proportion to its applicable Ratable Share and LOC Group Ratable Share, as applicable, and (4) solely if there is more than one LOC Issuer, in connection with such LOC Purchase, each Letter of Credit issued or otherwise extended or renewed in connection with such LOC Purchase has the same expiry date, so that each Committed Purchaser shall have the same tenor of its aggregate LOC Exposure as each other Committed Purchaser has as of such date.</w:t>
      </w:r>
    </w:p>
    <w:p>
      <w:pPr>
        <w:spacing w:after="0" w:line="18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the event there is more than one LOC Issuer or Fronting LOC Issuer in connection with any LOC Purchase, Seller shall also designate how the portion of such LOC Purchase allocable to the Fronting LOC Issuers in accordance with the terms of this Agreement, if any, shall be allocated amongst such Fronting LOC Issuers, and the parties acknowledge and agree that Seller shall allocate such portion of the LOC Purchase to any or all of the Fronting LOC Issuers and may request such Letters of Credit to be issued to any beneficiaries and on any of the applicable forms described in the preceding paragraph, it being understood that in connection with any LOC Purchase each applicable LOC Issuer may be issuing Letters of Credit on different forms and to different beneficiaries. Unless otherwise indicated in any other Group’s assumption joinder or transfer document, such new Group’s Letter of Credit will be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Each LOC Issuer agrees, on the terms and subject to the conditions hereof (including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and the prior paragraph) and of the applicable Letter of Credit Applications, to issue such Letters of Credit requested by Seller hereunder only to the extent that after giving effect thereto (i) the aggregate Investment of all the Committed Purchasers in its LOC Group (after giving effect thereto, all of their other Purchases outstanding or to be funded on such date and any other LOC Purchases evidence by Letters of Credit issued by any LOC Issuer in such LOC Group on such dates) would not exceed its Commitment and (ii) the issuance of such Letter of Credit shall not cause it to exceed its LOC Issuance Limit. Each Committed Purchaser severally hereby agrees, on the terms and subject to the conditions hereof, to participate in each LOC Purchase requested by Seller hereunder to the extent of its related Group’s Ratable Share of each Purchase requested and the Commitment of such Group and so long as its Investment after giving effect to such participation in such LOC Purchase (and any other Purchase to be made on such date) would not exceed its Commitment. Such participations in each such LOC Purchase by each Committed Purchaser shall constitute an agreement by such Committed Purchaser to make a Funded Purchase under, and subject to the conditions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1.1(b)(iii)</w:t>
      </w:r>
      <w:r>
        <w:rPr>
          <w:rFonts w:ascii="Times New Roman" w:cs="Times New Roman" w:eastAsia="Times New Roman" w:hAnsi="Times New Roman"/>
          <w:sz w:val="18"/>
          <w:szCs w:val="18"/>
          <w:color w:val="auto"/>
        </w:rPr>
        <w:t xml:space="preserve"> in the event that related Letter of Credit is subsequently drawn and the</w:t>
      </w:r>
    </w:p>
    <w:p>
      <w:pPr>
        <w:spacing w:after="0" w:line="200" w:lineRule="exact"/>
        <w:rPr>
          <w:sz w:val="20"/>
          <w:szCs w:val="20"/>
          <w:color w:val="auto"/>
        </w:rPr>
      </w:pPr>
    </w:p>
    <w:p>
      <w:pPr>
        <w:spacing w:after="0" w:line="383" w:lineRule="exact"/>
        <w:rPr>
          <w:sz w:val="20"/>
          <w:szCs w:val="20"/>
          <w:color w:val="auto"/>
        </w:rPr>
      </w:pPr>
    </w:p>
    <w:p>
      <w:pPr>
        <w:ind w:left="5064"/>
        <w:spacing w:after="0"/>
        <w:tabs>
          <w:tab w:leader="none" w:pos="9863"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5" w:right="239" w:bottom="1440" w:gutter="0" w:footer="0" w:header="0"/>
        </w:sectPr>
      </w:pPr>
    </w:p>
    <w:bookmarkStart w:id="415" w:name="page416"/>
    <w:bookmarkEnd w:id="41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Seller otherwise fails to fulfill its Reimbursement Obligation at such time with respect to such draw in accordance with the terms of this Agreement. All such unfunded participations in LOC Purchases shall be included in the calculation of the Investment of such Committed Purchaser and shall earn the applicable fees set forth in the Fee Letter, but shall not accrue Yield. In the event that any Letter of Credit expires, is cancelled or is surrendered to the applicable LOC Issuer in accordance with its terms without being drawn (in whole or in part) or if the Stated Amount of any such Letter of Credit is irrevocably reduced, then, in such event, the foregoing Commitment to make such Funded Purchase shall expire or be proportionately reduced, as applicable, with respect to such Letter of Credit and the related Committed Purchasers, and the related Investment of such Committed Purchaser shall automatically be ratably reduced (in accordance with their participation therein hereunder) to the extent of the amount, or portion of the Stated Amount, of such Letter of Credit which has expired or been so surrendered, cancelled or reduced, as applicable, and, if applicable, deemed Purchases shall occur in accordance with </w:t>
      </w:r>
      <w:r>
        <w:rPr>
          <w:rFonts w:ascii="Times New Roman" w:cs="Times New Roman" w:eastAsia="Times New Roman" w:hAnsi="Times New Roman"/>
          <w:sz w:val="18"/>
          <w:szCs w:val="18"/>
          <w:u w:val="single" w:color="auto"/>
          <w:color w:val="auto"/>
        </w:rPr>
        <w:t>Section 1.6(a)(ii)(A)</w:t>
      </w:r>
      <w:r>
        <w:rPr>
          <w:rFonts w:ascii="Times New Roman" w:cs="Times New Roman" w:eastAsia="Times New Roman" w:hAnsi="Times New Roman"/>
          <w:sz w:val="18"/>
          <w:szCs w:val="18"/>
          <w:color w:val="auto"/>
        </w:rPr>
        <w:t xml:space="preserve">. The aggregate Stated Amount of all such Letters of Credit purchased under each LOC Purchase made pursuant to this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1.1(b)(iv)</w:t>
      </w:r>
      <w:r>
        <w:rPr>
          <w:rFonts w:ascii="Times New Roman" w:cs="Times New Roman" w:eastAsia="Times New Roman" w:hAnsi="Times New Roman"/>
          <w:sz w:val="18"/>
          <w:szCs w:val="18"/>
          <w:color w:val="auto"/>
        </w:rPr>
        <w:t>, and, with respect to each applicable LOC Issuer, in an amount not less than $1,000,000 and in integral multiples of $100,000 in excess thereof.</w:t>
      </w:r>
    </w:p>
    <w:p>
      <w:pPr>
        <w:spacing w:after="0" w:line="18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u w:val="single" w:color="auto"/>
          <w:color w:val="auto"/>
        </w:rPr>
        <w:t>Purchase Procedures; Funded Purchases and LOC Purchases; Assignment of Purchasers’ Interests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20" w:hanging="375"/>
        <w:spacing w:after="0"/>
        <w:tabs>
          <w:tab w:leader="none" w:pos="10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Funded Purchases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45" w:lineRule="auto"/>
        <w:tabs>
          <w:tab w:leader="none" w:pos="1638"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Funded Purchase</w:t>
      </w:r>
      <w:r>
        <w:rPr>
          <w:rFonts w:ascii="Times New Roman" w:cs="Times New Roman" w:eastAsia="Times New Roman" w:hAnsi="Times New Roman"/>
          <w:sz w:val="18"/>
          <w:szCs w:val="18"/>
          <w:color w:val="auto"/>
        </w:rPr>
        <w:t>. Each Funded Purchase shall be made on irrevocable prior written notice from Seller to Agent and each Purchaser Agent to make such Funded Purchase received by Agent and each Purchaser Agent not later than 11:00 a.m. (New York City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Business Day preceding the date of such proposed Funded Purchase. Each such notice of a proposed Funded Purchase shall specify (A) the desired amount and date of such proposed Purchase, (B) a pro forma calculation of the Asset Interest (based on the information from the most recent Information Package) after giving effect to such Funded Purchase and any other Purchase proposed to be made on such day, (C) a revised Information Package (based on the information from the most recent Information Package) reflecting all information after giving effect to such Purchase and any other Purchase made on such date and (D) each Group’s pro-rata portion of such requested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Seller shall not request, and the Purchasers shall not be required to fund, more than one Funded Purchase per week. If a Conduit Purchaser is willing and able, in its sole discretion, to make a Purchase requested of it pursuant to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subject to the terms and conditions hereof, such Conduit Purchaser shall make such Purchase by transferring such amount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on the requested purchase date. If any Conduit Purchaser is unwilling or unable for any reason to make such Purchase, subject to the terms and conditions hereof, the related Committed Purchaser in such Conduit Purchaser’s Group, subject to the terms and conditions hereof, shall make such Purchase by transferring such amount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85" w:lineRule="exact"/>
        <w:rPr>
          <w:sz w:val="20"/>
          <w:szCs w:val="20"/>
          <w:color w:val="auto"/>
        </w:rPr>
      </w:pPr>
    </w:p>
    <w:p>
      <w:pPr>
        <w:ind w:left="5060"/>
        <w:spacing w:after="0"/>
        <w:tabs>
          <w:tab w:leader="none" w:pos="98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16" w:name="page417"/>
    <w:bookmarkEnd w:id="416"/>
    <w:p>
      <w:pPr>
        <w:jc w:val="both"/>
        <w:ind w:left="100" w:firstLine="653"/>
        <w:spacing w:after="0" w:line="261" w:lineRule="auto"/>
        <w:tabs>
          <w:tab w:leader="none" w:pos="1243"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Funded Purchase Price</w:t>
      </w:r>
      <w:r>
        <w:rPr>
          <w:rFonts w:ascii="Times New Roman" w:cs="Times New Roman" w:eastAsia="Times New Roman" w:hAnsi="Times New Roman"/>
          <w:sz w:val="18"/>
          <w:szCs w:val="18"/>
          <w:color w:val="auto"/>
        </w:rPr>
        <w:t xml:space="preserve">. On the date of each Funded Purchase, each Conduit Purchaser or each Committed Purchaser, as applicable, shall, upon satisfaction of the applicable conditions set forth herein (including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make available to Seller, the Funded Purchase Price of its Funded Purchase in immediately available funds, at the account as designated from time to time by Seller in a written notice to Agent and each Purchaser Agent.</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52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 Purchases</w:t>
      </w:r>
      <w:r>
        <w:rPr>
          <w:rFonts w:ascii="Times New Roman" w:cs="Times New Roman" w:eastAsia="Times New Roman" w:hAnsi="Times New Roman"/>
          <w:sz w:val="18"/>
          <w:szCs w:val="18"/>
          <w:color w:val="auto"/>
        </w:rPr>
        <w:t xml:space="preserve">. Each LOC Purchase, the issuance of the related Letters of Credit and the participation of the Committed Purchasers therein, as applicable, in accordance with the terms of this Agreement (other than in accordance with </w:t>
      </w:r>
      <w:r>
        <w:rPr>
          <w:rFonts w:ascii="Times New Roman" w:cs="Times New Roman" w:eastAsia="Times New Roman" w:hAnsi="Times New Roman"/>
          <w:sz w:val="18"/>
          <w:szCs w:val="18"/>
          <w:u w:val="single" w:color="auto"/>
          <w:color w:val="auto"/>
        </w:rPr>
        <w:t>Section 1.6(a)(ii)(A)</w:t>
      </w:r>
      <w:r>
        <w:rPr>
          <w:rFonts w:ascii="Times New Roman" w:cs="Times New Roman" w:eastAsia="Times New Roman" w:hAnsi="Times New Roman"/>
          <w:sz w:val="18"/>
          <w:szCs w:val="18"/>
          <w:color w:val="auto"/>
        </w:rPr>
        <w:t xml:space="preserve">), shall be made on irrevocable prior written notice to make such LOC Purchase and issue the related Letters of Credit delivered from Seller received by each LOC Issuer, Agent and each Purchaser Agent not later than 11:00 a.m. (New York City time) at least two (2) Business Days preceding the date of such proposed LOC Purchase, including for the reallocation of the LOC Purchases described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each such notice of a LOC Purchase shall be in substantially the form of the Letter of Credit Application for the applicable LOC Issuer including any related documents or agreements referred to therein (the “</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duly completed to the satisfaction of Agent, the applicable Purchaser Agent and the applicable LOC Issuer and shall include, (A) the desired amount and date of such proposed LOC Purchase, (B) a pro forma calculation of the Asset Interest after giving effect to such LOC Purchase and any other Purchase proposed to be made on such day, (C) a revised Information Package reflecting all information after giving effect to such LOC Purchase and any other Purchase to be made on such date and (D) each Group’s pro-rata portion of such requested amount and, shall also include such other certificates, documents and other papers and information as Agent, such Purchaser Agent or such LOC Issuer may reasonably request. The Seller shall only request, on any Purchase Date, and the applicable LOC Issuer shall only issue, extend or renew Letters of Credit on such Purchase Date with the same expiry date, so that each Committed Purchaser shall have the same tenor of its aggregate LOC Exposure as each other Committed Purchaser has as of each Purchase Date. Such notice shall also include how much of the applicable amounts of such LOC Purchases as requested be made, and corresponding LOC’s be issued, by each Fronting LOC Issuer. Unless indicated otherwise in any other Group’s joinder or transfer document, such new Group’s Letter of Credit Application will, if such Group has its own LOC Issuer, be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Seller also has the right to give instructions and make agreements with respect to any Letter of Credit Application and the disposition of documents, and to agree with Agent, the applicable Purchaser Agent and the applicable LOC Issuer upon any amendment, extension or renewal of any Letter of Credit. Each Letter of Credit issued in connection with an LOC Purchase or otherwise shall comply with the provisions of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the related Letter of Credit Application.</w:t>
      </w:r>
    </w:p>
    <w:p>
      <w:pPr>
        <w:spacing w:after="0" w:line="191"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52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Asset Interest</w:t>
      </w:r>
      <w:r>
        <w:rPr>
          <w:rFonts w:ascii="Times New Roman" w:cs="Times New Roman" w:eastAsia="Times New Roman" w:hAnsi="Times New Roman"/>
          <w:sz w:val="18"/>
          <w:szCs w:val="18"/>
          <w:color w:val="auto"/>
        </w:rPr>
        <w:t>. Seller hereby sells, assigns and transfers to Agent, for the benefit of Purchasers (ratably, according to each Purchaser’s Investment) effective on and as of the date of each Purchase and Reinvestment by any Purchaser hereunder, all of its right, title and interest in, to and under all Pool Receivables purchased by such Purchaser hereunder and Related Assets relating to such Pool</w:t>
      </w:r>
    </w:p>
    <w:p>
      <w:pPr>
        <w:spacing w:after="0" w:line="200" w:lineRule="exact"/>
        <w:rPr>
          <w:sz w:val="20"/>
          <w:szCs w:val="20"/>
          <w:color w:val="auto"/>
        </w:rPr>
      </w:pPr>
    </w:p>
    <w:p>
      <w:pPr>
        <w:spacing w:after="0" w:line="365" w:lineRule="exact"/>
        <w:rPr>
          <w:sz w:val="20"/>
          <w:szCs w:val="20"/>
          <w:color w:val="auto"/>
        </w:rPr>
      </w:pPr>
    </w:p>
    <w:p>
      <w:pPr>
        <w:ind w:left="4520"/>
        <w:spacing w:after="0"/>
        <w:tabs>
          <w:tab w:leader="none" w:pos="9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17" w:name="page418"/>
    <w:bookmarkEnd w:id="41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Receivables (other than the Seller’s title in and to the lock-box accounts related to such Pool Receivables, which shall remain with Seller subject to effective account control agreement in favor of Agent), whether now owned or existing, or thereafter arising, acquired or originated, or in which the Seller now or hereafter has any rights, and wherever so located (the assets so assigned to include not only the Pool Receivables and Related Assets existing as of the date of such Purchase but also all future Pool Receivables and the Related Assets acquired by Seller from time to time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80" w:firstLine="648"/>
        <w:spacing w:after="0" w:line="266" w:lineRule="auto"/>
        <w:rPr>
          <w:sz w:val="20"/>
          <w:szCs w:val="20"/>
          <w:color w:val="auto"/>
        </w:rPr>
      </w:pPr>
      <w:r>
        <w:rPr>
          <w:rFonts w:ascii="Times New Roman" w:cs="Times New Roman" w:eastAsia="Times New Roman" w:hAnsi="Times New Roman"/>
          <w:sz w:val="18"/>
          <w:szCs w:val="18"/>
          <w:color w:val="auto"/>
        </w:rPr>
        <w:t>On any date, the Asset Interest will represent the Purchasers’ percentage ownership interest in all then outstanding Pool Receivables and all Related Assets with respect thereto (including all Collections and other proceeds), as at such date, which percentage ownership interest shall, on any date, be equal to the following fraction (expressed as a percentage):</w:t>
      </w:r>
    </w:p>
    <w:p>
      <w:pPr>
        <w:spacing w:after="0" w:line="17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u w:val="single" w:color="auto"/>
          <w:color w:val="auto"/>
        </w:rPr>
        <w:t>PTI + RR</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NPB</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5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594"/>
        </w:trPr>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PTI</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Purchasers’ Total Investment;</w:t>
            </w:r>
          </w:p>
        </w:tc>
      </w:tr>
      <w:tr>
        <w:trPr>
          <w:trHeight w:val="351"/>
        </w:trPr>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RR</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Required Reserves; and</w:t>
            </w:r>
          </w:p>
        </w:tc>
      </w:tr>
      <w:tr>
        <w:trPr>
          <w:trHeight w:val="351"/>
        </w:trPr>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NPB</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Net Pool Balance;</w:t>
            </w:r>
          </w:p>
        </w:tc>
      </w:tr>
    </w:tbl>
    <w:p>
      <w:pPr>
        <w:spacing w:after="0" w:line="387"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 xml:space="preserve">in each case as of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Asset Interest will remain constant at 100% of the Net Pool Balance at all times on and after the Purchase Termination Date until the Final Payout Date. Agent’s right, title and interest in and to such percentage ownership interest in all such Pool Receivables and all such Related Assets (including all Collections and other proceeds with respect to the foregoing), for the benefit of the Purchasers, is herein called the “</w:t>
      </w:r>
      <w:r>
        <w:rPr>
          <w:rFonts w:ascii="Times New Roman" w:cs="Times New Roman" w:eastAsia="Times New Roman" w:hAnsi="Times New Roman"/>
          <w:sz w:val="18"/>
          <w:szCs w:val="18"/>
          <w:u w:val="single" w:color="auto"/>
          <w:color w:val="auto"/>
        </w:rPr>
        <w:t>Asset Interest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5"/>
        <w:spacing w:after="0" w:line="254" w:lineRule="auto"/>
        <w:tabs>
          <w:tab w:leader="none" w:pos="105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Characterization as a Purchase and Sale; Recharacterization</w:t>
      </w:r>
      <w:r>
        <w:rPr>
          <w:rFonts w:ascii="Times New Roman" w:cs="Times New Roman" w:eastAsia="Times New Roman" w:hAnsi="Times New Roman"/>
          <w:sz w:val="18"/>
          <w:szCs w:val="18"/>
          <w:color w:val="auto"/>
        </w:rPr>
        <w:t>. It is the intention of the parties to this Agreement that the conveyance of Seller’s right, title and interest in, to and under the Asset Interest to Agent for the benefit of Purchasers pursuant to this Agreement shall constitute a purchase and sale and not a pledge, and such purchase and sale of the Asset Interest to Agent for the benefit of Purchasers and their assigns hereunder shall be treated as a sale for all purposes, other than federal and state income tax purposes. The provisions of this Agreement and all related Transaction Documents shall be construed to further these intentions of the parties. If, notwithstanding the foregoing, the conveyance of the Asset Interest to Agent for the benefit of Purchasers is characterized by any Governmental Authority, bankruptcy trustee or any other Person as a pledge, the parties intend that Seller shall be deemed hereunder to have granted, and Seller does hereby grant, to Agent for the benefit of Purchasers a first priority perfected security interest to secure Seller’s obligations hereunder in all of Seller’s now or hereafter existing right, title and interest in, to and under the Asset Interest in the Pool Receivables and the Related Assets, whether now owned or existing,</w:t>
      </w:r>
    </w:p>
    <w:p>
      <w:pPr>
        <w:spacing w:after="0" w:line="200" w:lineRule="exact"/>
        <w:rPr>
          <w:sz w:val="20"/>
          <w:szCs w:val="20"/>
          <w:color w:val="auto"/>
        </w:rPr>
      </w:pPr>
    </w:p>
    <w:p>
      <w:pPr>
        <w:spacing w:after="0" w:line="378" w:lineRule="exact"/>
        <w:rPr>
          <w:sz w:val="20"/>
          <w:szCs w:val="20"/>
          <w:color w:val="auto"/>
        </w:rPr>
      </w:pPr>
    </w:p>
    <w:p>
      <w:pPr>
        <w:ind w:left="5060"/>
        <w:spacing w:after="0"/>
        <w:tabs>
          <w:tab w:leader="none" w:pos="986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18" w:name="page419"/>
    <w:bookmarkEnd w:id="418"/>
    <w:p>
      <w:pPr>
        <w:jc w:val="both"/>
        <w:spacing w:after="0" w:line="261" w:lineRule="auto"/>
        <w:rPr>
          <w:sz w:val="20"/>
          <w:szCs w:val="20"/>
          <w:color w:val="auto"/>
        </w:rPr>
      </w:pPr>
      <w:r>
        <w:rPr>
          <w:rFonts w:ascii="Times New Roman" w:cs="Times New Roman" w:eastAsia="Times New Roman" w:hAnsi="Times New Roman"/>
          <w:sz w:val="18"/>
          <w:szCs w:val="18"/>
          <w:color w:val="auto"/>
        </w:rPr>
        <w:t>thereafter arising, acquired or originated, or in which the Seller now or hereafter has any rights, and wherever so located, and this Agreement shall constitute a security agreement under applicable Law. Each of the parties hereto hereby acknowledges and intends that no Purchase hereunder shall constitute, or be deemed to constitute, a Security. The provisions of this Agreement and all related Transaction Documents shall be construed to further these intentions of the parties hereto.</w:t>
      </w:r>
    </w:p>
    <w:p>
      <w:pPr>
        <w:spacing w:after="0" w:line="180" w:lineRule="exact"/>
        <w:rPr>
          <w:sz w:val="20"/>
          <w:szCs w:val="20"/>
          <w:color w:val="auto"/>
        </w:rPr>
      </w:pPr>
    </w:p>
    <w:p>
      <w:pPr>
        <w:jc w:val="both"/>
        <w:ind w:firstLine="645"/>
        <w:spacing w:after="0" w:line="253" w:lineRule="auto"/>
        <w:tabs>
          <w:tab w:leader="none" w:pos="1041"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Purchasers’ Limitation on Payments</w:t>
      </w:r>
      <w:r>
        <w:rPr>
          <w:rFonts w:ascii="Times New Roman" w:cs="Times New Roman" w:eastAsia="Times New Roman" w:hAnsi="Times New Roman"/>
          <w:sz w:val="18"/>
          <w:szCs w:val="18"/>
          <w:color w:val="auto"/>
        </w:rPr>
        <w:t xml:space="preserve">. Notwithstanding any provision contained in this Agreement or any other Transaction Document to the contrary, none of the Purchasers, Purchaser Agents or Agent shall, and none of them shall be obligated (whether on behalf of a Purchaser or otherwise) to, pay any amount to Seller as a Reinvestment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except to the extent that Collections are available for distribution to Seller for such purpose in accordance with this Agreement. In addition, notwithstanding anything to the contrary contained in this Agreement or any other Transaction Document, the obligations of any Purchaser that is a commercial paper conduit or similar vehicle under this Agreement and all other Transaction Documents shall be payable by such Purchaser or successor or assign solely to the extent of funds received from Seller in accordance with the terms of this Agreement or from any party to any Transaction Document in accordance with the terms thereof in excess of funds necessary to pay such Person’s matured and maturing Commercial Paper Notes or other senior indebtedness when due. Any amount which Agent, a Purchaser Agent or a Purchaser is not obligated to pay pursuant to the operation of the two preceding sentences shall not constitute a claim (as defined in § 101 of the Bankruptcy Code) against, or corporate obligation of, any Purchaser, any Purchaser Agent or Agent, as applicable, for any such insufficiency unless and until such amount becomes available for distribution to Seller pursuant to the terms hereof.</w:t>
      </w:r>
    </w:p>
    <w:p>
      <w:pPr>
        <w:spacing w:after="0" w:line="192" w:lineRule="exact"/>
        <w:rPr>
          <w:rFonts w:ascii="Times New Roman" w:cs="Times New Roman" w:eastAsia="Times New Roman" w:hAnsi="Times New Roman"/>
          <w:sz w:val="18"/>
          <w:szCs w:val="18"/>
          <w:color w:val="auto"/>
        </w:rPr>
      </w:pPr>
    </w:p>
    <w:p>
      <w:pPr>
        <w:jc w:val="both"/>
        <w:ind w:firstLine="645"/>
        <w:spacing w:after="0" w:line="261" w:lineRule="auto"/>
        <w:tabs>
          <w:tab w:leader="none" w:pos="100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Not Assumed</w:t>
      </w:r>
      <w:r>
        <w:rPr>
          <w:rFonts w:ascii="Times New Roman" w:cs="Times New Roman" w:eastAsia="Times New Roman" w:hAnsi="Times New Roman"/>
          <w:sz w:val="18"/>
          <w:szCs w:val="18"/>
          <w:color w:val="auto"/>
        </w:rPr>
        <w:t>. The foregoing sale, assignment and transfer does not constitute, and is not intended to result in, the creation or an assumption by Agent, any Purchaser Agent or any Purchaser of any obligation or liability of Seller, Originator, Servicer, or any other Person under or in connection with all, or any portion of, the Asset Interest (including the Receivables and Related Assets), all of which shall remain the obligations and liabilities of Seller, Originator and Servicer, as applicable.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u w:val="single" w:color="auto"/>
          <w:color w:val="auto"/>
        </w:rPr>
        <w:t>Reinvestments of Certain Collections; Payment of Remaining Collections; Asset Interest.</w:t>
      </w:r>
    </w:p>
    <w:p>
      <w:pPr>
        <w:spacing w:after="0" w:line="229" w:lineRule="exact"/>
        <w:rPr>
          <w:sz w:val="20"/>
          <w:szCs w:val="20"/>
          <w:color w:val="auto"/>
        </w:rPr>
      </w:pPr>
    </w:p>
    <w:p>
      <w:pPr>
        <w:jc w:val="both"/>
        <w:ind w:firstLine="645"/>
        <w:spacing w:after="0" w:line="266" w:lineRule="auto"/>
        <w:tabs>
          <w:tab w:leader="none" w:pos="1071"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close of business on each Business Day during the period from the Closing Date to the Purchase Termination Date, Servicer shall, on behalf of Agent (for the benefit of the Purchasers or other Secured Parties, as applicable), out of all Collections received since the last Business Day and on such Business Day from Pool Receivables:</w:t>
      </w:r>
    </w:p>
    <w:p>
      <w:pPr>
        <w:spacing w:after="0" w:line="176" w:lineRule="exact"/>
        <w:rPr>
          <w:rFonts w:ascii="Times New Roman" w:cs="Times New Roman" w:eastAsia="Times New Roman" w:hAnsi="Times New Roman"/>
          <w:sz w:val="18"/>
          <w:szCs w:val="18"/>
          <w:color w:val="auto"/>
        </w:rPr>
      </w:pPr>
    </w:p>
    <w:p>
      <w:pPr>
        <w:ind w:left="1640" w:hanging="347"/>
        <w:spacing w:after="0"/>
        <w:tabs>
          <w:tab w:leader="none" w:pos="164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all Collections;</w:t>
      </w:r>
    </w:p>
    <w:p>
      <w:pPr>
        <w:spacing w:after="0" w:line="225" w:lineRule="exact"/>
        <w:rPr>
          <w:rFonts w:ascii="Times New Roman" w:cs="Times New Roman" w:eastAsia="Times New Roman" w:hAnsi="Times New Roman"/>
          <w:sz w:val="18"/>
          <w:szCs w:val="18"/>
          <w:color w:val="auto"/>
        </w:rPr>
      </w:pPr>
    </w:p>
    <w:p>
      <w:pPr>
        <w:ind w:left="640" w:firstLine="653"/>
        <w:spacing w:after="0" w:line="282" w:lineRule="auto"/>
        <w:tabs>
          <w:tab w:leader="none" w:pos="173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such Collections, be deemed to have set aside and held in trust for Agent, Purchasers, the LOC Issuer and any other Secured Party, as</w:t>
      </w:r>
    </w:p>
    <w:p>
      <w:pPr>
        <w:spacing w:after="0" w:line="200" w:lineRule="exact"/>
        <w:rPr>
          <w:sz w:val="20"/>
          <w:szCs w:val="20"/>
          <w:color w:val="auto"/>
        </w:rPr>
      </w:pPr>
    </w:p>
    <w:p>
      <w:pPr>
        <w:spacing w:after="0" w:line="350" w:lineRule="exact"/>
        <w:rPr>
          <w:sz w:val="20"/>
          <w:szCs w:val="20"/>
          <w:color w:val="auto"/>
        </w:rPr>
      </w:pPr>
    </w:p>
    <w:p>
      <w:pPr>
        <w:ind w:left="5060"/>
        <w:spacing w:after="0"/>
        <w:tabs>
          <w:tab w:leader="none" w:pos="98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19" w:name="page420"/>
    <w:bookmarkEnd w:id="419"/>
    <w:p>
      <w:pPr>
        <w:jc w:val="both"/>
        <w:ind w:left="100"/>
        <w:spacing w:after="0" w:line="252" w:lineRule="auto"/>
        <w:rPr>
          <w:sz w:val="20"/>
          <w:szCs w:val="20"/>
          <w:color w:val="auto"/>
        </w:rPr>
      </w:pPr>
      <w:r>
        <w:rPr>
          <w:rFonts w:ascii="Times New Roman" w:cs="Times New Roman" w:eastAsia="Times New Roman" w:hAnsi="Times New Roman"/>
          <w:sz w:val="18"/>
          <w:szCs w:val="18"/>
          <w:color w:val="auto"/>
        </w:rPr>
        <w:t xml:space="preserve">applicable, an amount (based on information provided by Agent or any Purchaser Agent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equal to the sum of: (a) the estimated amount of Yield accrued in respect of each Rate Tranche, (b) all other amounts due to Agent, Purchasers, LOC Issuer or any other Secured Party hereunder (including amounts described in </w:t>
      </w:r>
      <w:r>
        <w:rPr>
          <w:rFonts w:ascii="Times New Roman" w:cs="Times New Roman" w:eastAsia="Times New Roman" w:hAnsi="Times New Roman"/>
          <w:sz w:val="18"/>
          <w:szCs w:val="18"/>
          <w:u w:val="single" w:color="auto"/>
          <w:color w:val="auto"/>
        </w:rPr>
        <w:t>Sections 3.2(a) and 13.6</w:t>
      </w:r>
      <w:r>
        <w:rPr>
          <w:rFonts w:ascii="Times New Roman" w:cs="Times New Roman" w:eastAsia="Times New Roman" w:hAnsi="Times New Roman"/>
          <w:sz w:val="18"/>
          <w:szCs w:val="18"/>
          <w:color w:val="auto"/>
        </w:rPr>
        <w:t xml:space="preserve">) and (c) the Servicing Fee (in each case, accrued through such day and not so previously set aside or anticipated to accrue through the end of the current Settlement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Exiting Purchaser, the remainder of such Collections (equal to the excess, if any, of all Collections received on such day from Pool Receivables,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the sum of the amounts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on such day) shall not be reinvested (as described below) after the then-current Commitment Termination Date for such Exiting Purchaser and shall instead be held in trust for the benefit of such Exiting Purchaser (or, if there is more than one Exiting Purchaser on such day, pro rata for the benefit of each such Exiting Purchaser based on such Exiting Purchaser’s ratable share) and applied in accordance with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Agent or any Purchaser Agent shall request it to do so in writing during the Liquidation Period or after the occurrence of any Event of Default that has not been waived in accordance with the terms of this Agreement, and so long as Servicer is able, on each Business Day and on an equitable and consistent basis, to identify which funds are Collections on Pool Receivables, Servicer shall not be required to hold Collections that have been set aside in a separate deposit account containing only such Collections, and may commingle such Collections with its own funds; it being understood that Agent, on behalf of Purchasers, or any Purchaser Agent, shall have a claim against Servicer to make payments pursuant to </w:t>
      </w:r>
      <w:r>
        <w:rPr>
          <w:rFonts w:ascii="Times New Roman" w:cs="Times New Roman" w:eastAsia="Times New Roman" w:hAnsi="Times New Roman"/>
          <w:sz w:val="18"/>
          <w:szCs w:val="18"/>
          <w:u w:val="single" w:color="auto"/>
          <w:color w:val="auto"/>
        </w:rPr>
        <w:t>Sections 1.3(c)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3.1(c)</w:t>
      </w:r>
      <w:r>
        <w:rPr>
          <w:rFonts w:ascii="Times New Roman" w:cs="Times New Roman" w:eastAsia="Times New Roman" w:hAnsi="Times New Roman"/>
          <w:sz w:val="18"/>
          <w:szCs w:val="18"/>
          <w:color w:val="auto"/>
        </w:rPr>
        <w:t xml:space="preserve"> (which claims shall be full recourse to Servicer) in an amount equal to the amount of such Collections that have not been set aside and that have been so commingled; and</w:t>
      </w:r>
    </w:p>
    <w:p>
      <w:pPr>
        <w:spacing w:after="0" w:line="196" w:lineRule="exact"/>
        <w:rPr>
          <w:sz w:val="20"/>
          <w:szCs w:val="20"/>
          <w:color w:val="auto"/>
        </w:rPr>
      </w:pPr>
    </w:p>
    <w:p>
      <w:pPr>
        <w:jc w:val="both"/>
        <w:ind w:left="100" w:firstLine="653"/>
        <w:spacing w:after="0" w:line="253" w:lineRule="auto"/>
        <w:tabs>
          <w:tab w:leader="none" w:pos="119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3.1(c)(iv)</w:t>
      </w:r>
      <w:r>
        <w:rPr>
          <w:rFonts w:ascii="Times New Roman" w:cs="Times New Roman" w:eastAsia="Times New Roman" w:hAnsi="Times New Roman"/>
          <w:sz w:val="18"/>
          <w:szCs w:val="18"/>
          <w:color w:val="auto"/>
        </w:rPr>
        <w:t xml:space="preserve">, apply such Collections as are not required to be set aside and held in trust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to pay Seller for additional Pool Receivables and Related Assets with respect to such Pool Receivables (each such purchase being a “</w:t>
      </w:r>
      <w:r>
        <w:rPr>
          <w:rFonts w:ascii="Times New Roman" w:cs="Times New Roman" w:eastAsia="Times New Roman" w:hAnsi="Times New Roman"/>
          <w:sz w:val="18"/>
          <w:szCs w:val="18"/>
          <w:u w:val="single" w:color="auto"/>
          <w:color w:val="auto"/>
        </w:rPr>
        <w:t>Reinvestment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D0D0D"/>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D0D0D"/>
        </w:rPr>
        <w:t>provided</w:t>
      </w:r>
      <w:r>
        <w:rPr>
          <w:rFonts w:ascii="Times New Roman" w:cs="Times New Roman" w:eastAsia="Times New Roman" w:hAnsi="Times New Roman"/>
          <w:sz w:val="18"/>
          <w:szCs w:val="18"/>
          <w:color w:val="0D0D0D"/>
        </w:rPr>
        <w:t>, that, (A) if the Asset Interest expressed as a percentage of Net Pool Balance, would exceed 100% at such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 xml:space="preserve">the aggregate Investment of any Purchaser would exceed such Purchaser’s Commitment or the then aggregate Purchasers’ Total Investment would exceed the Purchasers’ Total Commitment after giving effect to such Reinvestment, then Servicer shall not reinvest, but shall first set aside and hold in trust for the benefit of Purchasers in accordance with </w:t>
      </w:r>
      <w:r>
        <w:rPr>
          <w:rFonts w:ascii="Times New Roman" w:cs="Times New Roman" w:eastAsia="Times New Roman" w:hAnsi="Times New Roman"/>
          <w:sz w:val="18"/>
          <w:szCs w:val="18"/>
          <w:u w:val="single" w:color="auto"/>
          <w:color w:val="0D0D0D"/>
        </w:rPr>
        <w:t>Section 3.4</w:t>
      </w:r>
      <w:r>
        <w:rPr>
          <w:rFonts w:ascii="Times New Roman" w:cs="Times New Roman" w:eastAsia="Times New Roman" w:hAnsi="Times New Roman"/>
          <w:sz w:val="18"/>
          <w:szCs w:val="18"/>
          <w:color w:val="0D0D0D"/>
        </w:rPr>
        <w:t xml:space="preserve">, a portion of such Collections which, together with other Collections previously set aside and then so held, shall equal the amount necessary to reduce, as applicable, (i) the Purchasers’ Total Investment (ratably to the Purchasers based on each such Purchaser’s Investment) to an amount equal to or less than the Purchasers’ Total Commitment and (ii) the sum of Purchasers’ Total Investment and the Required Reserves at such time to an amount equal to or less than the Net Pool Balance at such time (any remaining Collections after giving effect to this </w:t>
      </w:r>
      <w:r>
        <w:rPr>
          <w:rFonts w:ascii="Times New Roman" w:cs="Times New Roman" w:eastAsia="Times New Roman" w:hAnsi="Times New Roman"/>
          <w:sz w:val="18"/>
          <w:szCs w:val="18"/>
          <w:u w:val="single" w:color="auto"/>
          <w:color w:val="0D0D0D"/>
        </w:rPr>
        <w:t>proviso</w:t>
      </w:r>
      <w:r>
        <w:rPr>
          <w:rFonts w:ascii="Times New Roman" w:cs="Times New Roman" w:eastAsia="Times New Roman" w:hAnsi="Times New Roman"/>
          <w:sz w:val="18"/>
          <w:szCs w:val="18"/>
          <w:color w:val="0D0D0D"/>
        </w:rPr>
        <w:t xml:space="preserve"> shall then be applied as described above in this </w:t>
      </w:r>
      <w:r>
        <w:rPr>
          <w:rFonts w:ascii="Times New Roman" w:cs="Times New Roman" w:eastAsia="Times New Roman" w:hAnsi="Times New Roman"/>
          <w:sz w:val="18"/>
          <w:szCs w:val="18"/>
          <w:u w:val="single" w:color="auto"/>
          <w:color w:val="0D0D0D"/>
        </w:rPr>
        <w:t>Section 1.3(a)(iii)</w:t>
      </w:r>
      <w:r>
        <w:rPr>
          <w:rFonts w:ascii="Times New Roman" w:cs="Times New Roman" w:eastAsia="Times New Roman" w:hAnsi="Times New Roman"/>
          <w:sz w:val="18"/>
          <w:szCs w:val="18"/>
          <w:color w:val="0D0D0D"/>
        </w:rPr>
        <w:t>); (B) in the case of any Exiting Purchaser, after its then-current Commitment Termination Date, the</w:t>
      </w:r>
    </w:p>
    <w:p>
      <w:pPr>
        <w:spacing w:after="0" w:line="200" w:lineRule="exact"/>
        <w:rPr>
          <w:sz w:val="20"/>
          <w:szCs w:val="20"/>
          <w:color w:val="auto"/>
        </w:rPr>
      </w:pPr>
    </w:p>
    <w:p>
      <w:pPr>
        <w:spacing w:after="0" w:line="381"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5" w:right="239" w:bottom="1440" w:gutter="0" w:footer="0" w:header="0"/>
        </w:sectPr>
      </w:pPr>
    </w:p>
    <w:bookmarkStart w:id="420" w:name="page421"/>
    <w:bookmarkEnd w:id="420"/>
    <w:p>
      <w:pPr>
        <w:jc w:val="both"/>
        <w:ind w:left="100"/>
        <w:spacing w:after="0" w:line="253" w:lineRule="auto"/>
        <w:rPr>
          <w:sz w:val="20"/>
          <w:szCs w:val="20"/>
          <w:color w:val="auto"/>
        </w:rPr>
      </w:pPr>
      <w:r>
        <w:rPr>
          <w:rFonts w:ascii="Times New Roman" w:cs="Times New Roman" w:eastAsia="Times New Roman" w:hAnsi="Times New Roman"/>
          <w:sz w:val="18"/>
          <w:szCs w:val="18"/>
          <w:color w:val="0D0D0D"/>
        </w:rPr>
        <w:t xml:space="preserve">Servicer shall not reinvest, but shall set aside and hold in trust for the benefit of the applicable Purchaser Agents, Purchasers, LOC Issuer or any other Secured Party, as applicable in accordance with </w:t>
      </w:r>
      <w:r>
        <w:rPr>
          <w:rFonts w:ascii="Times New Roman" w:cs="Times New Roman" w:eastAsia="Times New Roman" w:hAnsi="Times New Roman"/>
          <w:sz w:val="18"/>
          <w:szCs w:val="18"/>
          <w:u w:val="single" w:color="auto"/>
          <w:color w:val="0D0D0D"/>
        </w:rPr>
        <w:t>Section 3.4</w:t>
      </w:r>
      <w:r>
        <w:rPr>
          <w:rFonts w:ascii="Times New Roman" w:cs="Times New Roman" w:eastAsia="Times New Roman" w:hAnsi="Times New Roman"/>
          <w:sz w:val="18"/>
          <w:szCs w:val="18"/>
          <w:color w:val="0D0D0D"/>
        </w:rPr>
        <w:t xml:space="preserve">, a portion of such Collections which, together with other Collections previously set aside and then so held, shall equal the amount necessary to reduce such Exiting Purchaser’s Investment to zero (based on its ratable share of the Purchasers’ Total Investment (it being understood and agreed that notwithstanding anything to the contrary set forth herein, solely for the purpose of determining such Exiting Purchaser’s ratable share of such Collections, such Exiting Purchaser’s Investment shall be deemed to remain constant from such then current Commitment Termination Date for such Exiting Purchaser until the date such Exiting Purchaser’s Investment has been repaid in full)) and (C) if the conditions precedent to Reinvestment in </w:t>
      </w:r>
      <w:r>
        <w:rPr>
          <w:rFonts w:ascii="Times New Roman" w:cs="Times New Roman" w:eastAsia="Times New Roman" w:hAnsi="Times New Roman"/>
          <w:sz w:val="18"/>
          <w:szCs w:val="18"/>
          <w:u w:val="single" w:color="auto"/>
          <w:color w:val="0D0D0D"/>
        </w:rPr>
        <w:t>clause (a)</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u w:val="single" w:color="auto"/>
          <w:color w:val="0D0D0D"/>
        </w:rPr>
        <w:t>(b)</w:t>
      </w:r>
      <w:r>
        <w:rPr>
          <w:rFonts w:ascii="Times New Roman" w:cs="Times New Roman" w:eastAsia="Times New Roman" w:hAnsi="Times New Roman"/>
          <w:sz w:val="18"/>
          <w:szCs w:val="18"/>
          <w:color w:val="0D0D0D"/>
        </w:rPr>
        <w:t xml:space="preserve"> or</w:t>
      </w:r>
    </w:p>
    <w:p>
      <w:pPr>
        <w:spacing w:after="0" w:line="4" w:lineRule="exact"/>
        <w:rPr>
          <w:sz w:val="20"/>
          <w:szCs w:val="20"/>
          <w:color w:val="auto"/>
        </w:rPr>
      </w:pPr>
    </w:p>
    <w:p>
      <w:pPr>
        <w:ind w:left="100" w:right="20" w:firstLine="5"/>
        <w:spacing w:after="0" w:line="261" w:lineRule="auto"/>
        <w:tabs>
          <w:tab w:leader="none" w:pos="355" w:val="left"/>
        </w:tabs>
        <w:numPr>
          <w:ilvl w:val="0"/>
          <w:numId w:val="340"/>
        </w:numPr>
        <w:rPr>
          <w:rFonts w:ascii="Times New Roman" w:cs="Times New Roman" w:eastAsia="Times New Roman" w:hAnsi="Times New Roman"/>
          <w:sz w:val="18"/>
          <w:szCs w:val="18"/>
          <w:u w:val="single" w:color="auto"/>
          <w:color w:val="0D0D0D"/>
        </w:rPr>
      </w:pPr>
      <w:r>
        <w:rPr>
          <w:rFonts w:ascii="Times New Roman" w:cs="Times New Roman" w:eastAsia="Times New Roman" w:hAnsi="Times New Roman"/>
          <w:sz w:val="18"/>
          <w:szCs w:val="18"/>
          <w:color w:val="0D0D0D"/>
        </w:rPr>
        <w:t xml:space="preserve">of </w:t>
      </w:r>
      <w:r>
        <w:rPr>
          <w:rFonts w:ascii="Times New Roman" w:cs="Times New Roman" w:eastAsia="Times New Roman" w:hAnsi="Times New Roman"/>
          <w:sz w:val="18"/>
          <w:szCs w:val="18"/>
          <w:u w:val="single" w:color="auto"/>
          <w:color w:val="0D0D0D"/>
        </w:rPr>
        <w:t>Section 5.2</w:t>
      </w:r>
      <w:r>
        <w:rPr>
          <w:rFonts w:ascii="Times New Roman" w:cs="Times New Roman" w:eastAsia="Times New Roman" w:hAnsi="Times New Roman"/>
          <w:sz w:val="18"/>
          <w:szCs w:val="18"/>
          <w:color w:val="0D0D0D"/>
        </w:rPr>
        <w:t xml:space="preserve"> are not satisfied or no Reinvestments are to be made in accordance with </w:t>
      </w:r>
      <w:r>
        <w:rPr>
          <w:rFonts w:ascii="Times New Roman" w:cs="Times New Roman" w:eastAsia="Times New Roman" w:hAnsi="Times New Roman"/>
          <w:sz w:val="18"/>
          <w:szCs w:val="18"/>
          <w:u w:val="single" w:color="auto"/>
          <w:color w:val="0D0D0D"/>
        </w:rPr>
        <w:t>Section 3.2(c)</w:t>
      </w:r>
      <w:r>
        <w:rPr>
          <w:rFonts w:ascii="Times New Roman" w:cs="Times New Roman" w:eastAsia="Times New Roman" w:hAnsi="Times New Roman"/>
          <w:sz w:val="18"/>
          <w:szCs w:val="18"/>
          <w:color w:val="0D0D0D"/>
        </w:rPr>
        <w:t>, then Servicer shall not apply any of such remaining Collections to a Reinvestment.</w:t>
      </w:r>
    </w:p>
    <w:p>
      <w:pPr>
        <w:spacing w:after="0" w:line="180" w:lineRule="exact"/>
        <w:rPr>
          <w:sz w:val="20"/>
          <w:szCs w:val="20"/>
          <w:color w:val="auto"/>
        </w:rPr>
      </w:pPr>
    </w:p>
    <w:p>
      <w:pPr>
        <w:jc w:val="both"/>
        <w:ind w:left="-540" w:firstLine="645"/>
        <w:spacing w:after="0" w:line="252" w:lineRule="auto"/>
        <w:tabs>
          <w:tab w:leader="none" w:pos="51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Unreinvested Collections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1.3(a)(iii)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3.1(c)(iv)</w:t>
      </w:r>
      <w:r>
        <w:rPr>
          <w:rFonts w:ascii="Times New Roman" w:cs="Times New Roman" w:eastAsia="Times New Roman" w:hAnsi="Times New Roman"/>
          <w:sz w:val="18"/>
          <w:szCs w:val="18"/>
          <w:color w:val="auto"/>
        </w:rPr>
        <w:t xml:space="preserve">, Servicer shall set aside and hold in trust for the benefit of Agent, Purchasers (including any Exiting Purchasers), the LOC Issuer and any other Secured Party, as applicable, all Collections which,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may not be reinvested in the Pool Receivables and Related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Agent or any Purchaser Agent shall request it to do so in writing during the Liquidation Period or after the occurrence of any Event of Default that has not been waived in accordance with the terms of this Agreement, and so long as Servicer is able, on each Business Day and on an equitable and consistent basis, to identify which funds are Collections on Pool Receivables, Servicer shall not be required to hold Collections that have been set aside in a separate deposit account containing only such Collections, and may commingle such Collections with its own funds; it being understood that Agent, on behalf of each Purchaser and the other Secured Parties, shall have a claim against Servicer to make payments pursuant to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(which claim shall be full recourse to Servicer) in an amount equal to the amount of such Collections that have not been set aside and that have been so commingled. If, prior to the date when such Collections are required to be paid to the Purchasers and, if applicable, the other Secured Parties, pursuant to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the amount of Collections so set aside exceeds the amount, if any, necessary to reduce, as applicable, </w:t>
      </w:r>
      <w:r>
        <w:rPr>
          <w:rFonts w:ascii="Times New Roman" w:cs="Times New Roman" w:eastAsia="Times New Roman" w:hAnsi="Times New Roman"/>
          <w:sz w:val="18"/>
          <w:szCs w:val="18"/>
          <w:color w:val="0D0D0D"/>
        </w:rPr>
        <w:t>(i) the Purchasers’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 xml:space="preserve">Total Investment to an amount equal to or less than the Purchasers’ Total Commitment, (ii) the sum of the Purchasers’ Total Investment and the Required Reserves at such time to an amount equal to or less than the Net Pool Balance at such time, and (iii) any Exiting Purchaser’s Investment to zero, in each case subject to and as provided in </w:t>
      </w:r>
      <w:r>
        <w:rPr>
          <w:rFonts w:ascii="Times New Roman" w:cs="Times New Roman" w:eastAsia="Times New Roman" w:hAnsi="Times New Roman"/>
          <w:sz w:val="18"/>
          <w:szCs w:val="18"/>
          <w:u w:val="single" w:color="auto"/>
          <w:color w:val="0D0D0D"/>
        </w:rPr>
        <w:t>Section 1.3(a)(iii)</w:t>
      </w:r>
      <w:r>
        <w:rPr>
          <w:rFonts w:ascii="Times New Roman" w:cs="Times New Roman" w:eastAsia="Times New Roman" w:hAnsi="Times New Roman"/>
          <w:sz w:val="18"/>
          <w:szCs w:val="18"/>
          <w:color w:val="0D0D0D"/>
        </w:rPr>
        <w:t xml:space="preserve"> and the conditions precedent to Reinvestment set forth in </w:t>
      </w:r>
      <w:r>
        <w:rPr>
          <w:rFonts w:ascii="Times New Roman" w:cs="Times New Roman" w:eastAsia="Times New Roman" w:hAnsi="Times New Roman"/>
          <w:sz w:val="18"/>
          <w:szCs w:val="18"/>
          <w:u w:val="single" w:color="auto"/>
          <w:color w:val="0D0D0D"/>
        </w:rPr>
        <w:t>clauses (a)</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u w:val="single" w:color="auto"/>
          <w:color w:val="0D0D0D"/>
        </w:rPr>
        <w:t>(b)</w:t>
      </w:r>
      <w:r>
        <w:rPr>
          <w:rFonts w:ascii="Times New Roman" w:cs="Times New Roman" w:eastAsia="Times New Roman" w:hAnsi="Times New Roman"/>
          <w:sz w:val="18"/>
          <w:szCs w:val="18"/>
          <w:color w:val="0D0D0D"/>
        </w:rPr>
        <w:t xml:space="preserve"> and </w:t>
      </w:r>
      <w:r>
        <w:rPr>
          <w:rFonts w:ascii="Times New Roman" w:cs="Times New Roman" w:eastAsia="Times New Roman" w:hAnsi="Times New Roman"/>
          <w:sz w:val="18"/>
          <w:szCs w:val="18"/>
          <w:u w:val="single" w:color="auto"/>
          <w:color w:val="0D0D0D"/>
        </w:rPr>
        <w:t>(d)</w:t>
      </w:r>
      <w:r>
        <w:rPr>
          <w:rFonts w:ascii="Times New Roman" w:cs="Times New Roman" w:eastAsia="Times New Roman" w:hAnsi="Times New Roman"/>
          <w:sz w:val="18"/>
          <w:szCs w:val="18"/>
          <w:color w:val="0D0D0D"/>
        </w:rPr>
        <w:t xml:space="preserve"> of </w:t>
      </w:r>
      <w:r>
        <w:rPr>
          <w:rFonts w:ascii="Times New Roman" w:cs="Times New Roman" w:eastAsia="Times New Roman" w:hAnsi="Times New Roman"/>
          <w:sz w:val="18"/>
          <w:szCs w:val="18"/>
          <w:u w:val="single" w:color="auto"/>
          <w:color w:val="0D0D0D"/>
        </w:rPr>
        <w:t>Section 5.2</w:t>
      </w:r>
      <w:r>
        <w:rPr>
          <w:rFonts w:ascii="Times New Roman" w:cs="Times New Roman" w:eastAsia="Times New Roman" w:hAnsi="Times New Roman"/>
          <w:sz w:val="18"/>
          <w:szCs w:val="18"/>
          <w:color w:val="0D0D0D"/>
        </w:rPr>
        <w:t xml:space="preserve"> are satisfied and Reinvestments are permitted in accordance with </w:t>
      </w:r>
      <w:r>
        <w:rPr>
          <w:rFonts w:ascii="Times New Roman" w:cs="Times New Roman" w:eastAsia="Times New Roman" w:hAnsi="Times New Roman"/>
          <w:sz w:val="18"/>
          <w:szCs w:val="18"/>
          <w:u w:val="single" w:color="auto"/>
          <w:color w:val="0D0D0D"/>
        </w:rPr>
        <w:t>Section 3.2(c)</w:t>
      </w:r>
      <w:r>
        <w:rPr>
          <w:rFonts w:ascii="Times New Roman" w:cs="Times New Roman" w:eastAsia="Times New Roman" w:hAnsi="Times New Roman"/>
          <w:sz w:val="18"/>
          <w:szCs w:val="18"/>
          <w:color w:val="0D0D0D"/>
        </w:rPr>
        <w:t>, then Servicer shall apply such Collections (or, if less, a portion of such Collections equal to the amount of such excess) to the making of a Reinvestment</w:t>
      </w:r>
      <w:r>
        <w:rPr>
          <w:rFonts w:ascii="Times New Roman" w:cs="Times New Roman" w:eastAsia="Times New Roman" w:hAnsi="Times New Roman"/>
          <w:sz w:val="18"/>
          <w:szCs w:val="18"/>
          <w:color w:val="000000"/>
        </w:rPr>
        <w:t>.</w:t>
      </w:r>
    </w:p>
    <w:p>
      <w:pPr>
        <w:spacing w:after="0" w:line="196" w:lineRule="exact"/>
        <w:rPr>
          <w:rFonts w:ascii="Times New Roman" w:cs="Times New Roman" w:eastAsia="Times New Roman" w:hAnsi="Times New Roman"/>
          <w:sz w:val="18"/>
          <w:szCs w:val="18"/>
          <w:color w:val="auto"/>
        </w:rPr>
      </w:pPr>
    </w:p>
    <w:p>
      <w:pPr>
        <w:ind w:left="480" w:hanging="375"/>
        <w:spacing w:after="0"/>
        <w:tabs>
          <w:tab w:leader="none" w:pos="48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Amounts Set Aside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21" w:name="page422"/>
    <w:bookmarkEnd w:id="421"/>
    <w:p>
      <w:pPr>
        <w:jc w:val="both"/>
        <w:ind w:left="100" w:firstLine="653"/>
        <w:spacing w:after="0" w:line="261" w:lineRule="auto"/>
        <w:tabs>
          <w:tab w:leader="none" w:pos="111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all amounts set aside and held in trust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in respect of Yield on a Rate Tranche not funded by the issuance of Commercial Paper Notes (including under a Liquidity Agreement or an Enhancement Agreement) to the applicable Purchaser Agent on the last day of the then current Yield Period for such Rate Tranche based on information provided by each applicable Purchaser Agent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15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all amounts of Collections set aside and held in trust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above and not applied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to the applicable Purchaser Agent on the Settlement Date for each Settlement Period, as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or during the Liquidation Period or after the occurrence of any Event of Default that has not been waived in accordance with the terms of this Agreement, on such earlier date or dates as Agent or any applicable Purchaser Agent shall require on at least one (1) Business Day’s prior written notice to Servicer.</w:t>
      </w:r>
    </w:p>
    <w:p>
      <w:pPr>
        <w:spacing w:after="0" w:line="183" w:lineRule="exact"/>
        <w:rPr>
          <w:rFonts w:ascii="Times New Roman" w:cs="Times New Roman" w:eastAsia="Times New Roman" w:hAnsi="Times New Roman"/>
          <w:sz w:val="18"/>
          <w:szCs w:val="18"/>
          <w:color w:val="auto"/>
        </w:rPr>
      </w:pPr>
    </w:p>
    <w:p>
      <w:pPr>
        <w:jc w:val="both"/>
        <w:ind w:left="100" w:firstLine="653"/>
        <w:spacing w:after="0" w:line="253" w:lineRule="auto"/>
        <w:tabs>
          <w:tab w:leader="none" w:pos="121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all amounts set aside and held in trust pursuant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above to the applicable Purchaser Agent for the account of the applicable Purchasers, the applicable LOC Issuer or as otherwise required hereunder (A) on the last day of the then current Yield Period for any Rate Tranche not funded by the issuance of Commercial Paper Notes in an amount not exceeding each Committed Purchaser’s Tranche Investment of such Rate Tranche (based on information provided by each applicable Purchaser Agent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(B) on the Settlement Date for each Settlement Period, as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an amount not exceeding each Conduit Purchaser’s Tranche Investment of the Rate Tranche funded by Commercial Paper Notes (based on information provided by each applicable Purchaser Agent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during the Liquidation Period or after the occurrence of any Event of Default that has not been waived in accordance with the terms of this Agreement, on such earlier date or dates as Agent shall require on at least one (1) Business Day’s prior written notice to 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Liquidation Period or after the occurrence of any Event of Default that has not been waived in accordance with the terms of this Agreement, payments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made, in the following order: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as applicable, to the LOC Issuers to cash collateralize the Stated Amount of all outstanding Letters of Credit ratably among each applicable LOC Issuer in each LOC Group by depositing the applicable amounts to the applicable Cash Collateral Accounts, and then at the direction of the applicable Purchaser Agent.</w:t>
      </w:r>
    </w:p>
    <w:p>
      <w:pPr>
        <w:spacing w:after="0" w:line="188"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24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the amount of Collections set aside pursuant to </w:t>
      </w:r>
      <w:r>
        <w:rPr>
          <w:rFonts w:ascii="Times New Roman" w:cs="Times New Roman" w:eastAsia="Times New Roman" w:hAnsi="Times New Roman"/>
          <w:sz w:val="18"/>
          <w:szCs w:val="18"/>
          <w:u w:val="single" w:color="auto"/>
          <w:color w:val="auto"/>
        </w:rPr>
        <w:t>Section 1.3(a)(ii)</w:t>
      </w:r>
      <w:r>
        <w:rPr>
          <w:rFonts w:ascii="Times New Roman" w:cs="Times New Roman" w:eastAsia="Times New Roman" w:hAnsi="Times New Roman"/>
          <w:sz w:val="18"/>
          <w:szCs w:val="18"/>
          <w:color w:val="auto"/>
        </w:rPr>
        <w:t xml:space="preserve"> above with respect to any Defaulting Purchaser on each Settlement Date (or during the Liquidation Period or during the existence of any Event of Default that has not been waived in accordance with the terms of this Agreement, on such earlier date or dates as Agent or any applicable Purchaser Agent shall require on at least one (1) Business Day’s written notice to Servicer) as follows: with respect to any amounts allocable to a Defaulting Purchaser for</w:t>
      </w:r>
    </w:p>
    <w:p>
      <w:pPr>
        <w:spacing w:after="0" w:line="200" w:lineRule="exact"/>
        <w:rPr>
          <w:sz w:val="20"/>
          <w:szCs w:val="20"/>
          <w:color w:val="auto"/>
        </w:rPr>
      </w:pPr>
    </w:p>
    <w:p>
      <w:pPr>
        <w:spacing w:after="0" w:line="372"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22" w:name="page423"/>
    <w:bookmarkEnd w:id="422"/>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 xml:space="preserve">which </w:t>
      </w:r>
      <w:r>
        <w:rPr>
          <w:rFonts w:ascii="Times New Roman" w:cs="Times New Roman" w:eastAsia="Times New Roman" w:hAnsi="Times New Roman"/>
          <w:sz w:val="18"/>
          <w:szCs w:val="18"/>
          <w:u w:val="single" w:color="auto"/>
          <w:color w:val="auto"/>
        </w:rPr>
        <w:t>Section 2.6(b)(ii)(A)</w:t>
      </w:r>
      <w:r>
        <w:rPr>
          <w:rFonts w:ascii="Times New Roman" w:cs="Times New Roman" w:eastAsia="Times New Roman" w:hAnsi="Times New Roman"/>
          <w:sz w:val="18"/>
          <w:szCs w:val="18"/>
          <w:color w:val="auto"/>
        </w:rPr>
        <w:t xml:space="preserve"> is in effect, to the Purchaser Agent for each LOC Issuer to which such Defaulting Purchaser has existing LOC Participation Obligations, pro rata, to the repayment of any amounts owing by such Defaulting Purchaser to the related LOC Issuer of any LOC Group of which such Defaulting Purchaser is (or was) a member (e.g., the fronted amounts) and the amount needed, to be deposited in each applicable Cash Collateral Account until the amount on deposit in each such account is equal to the amount of the related LOC Participation Obligations of such Defaulting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once all Defaulted Amounts with respect to any Defaulting Purchaser have been cash-collateralized as described herein or otherwise paid in full as described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no Event of Default that has not been waived in accordance with the terms of this Agreement has occurred and is continuing and the Seller agrees that such Defaulting Purchaser’s Commitment is terminated, such Defaulting Purchaser will be treated as an Exiting Purchaser hereunder.</w:t>
      </w:r>
    </w:p>
    <w:p>
      <w:pPr>
        <w:spacing w:after="0" w:line="185" w:lineRule="exact"/>
        <w:rPr>
          <w:sz w:val="20"/>
          <w:szCs w:val="20"/>
          <w:color w:val="auto"/>
        </w:rPr>
      </w:pPr>
    </w:p>
    <w:p>
      <w:pPr>
        <w:jc w:val="both"/>
        <w:ind w:left="640" w:firstLine="653"/>
        <w:spacing w:after="0" w:line="254" w:lineRule="auto"/>
        <w:tabs>
          <w:tab w:leader="none" w:pos="179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the amount of Collections set aside pursuant to </w:t>
      </w:r>
      <w:r>
        <w:rPr>
          <w:rFonts w:ascii="Times New Roman" w:cs="Times New Roman" w:eastAsia="Times New Roman" w:hAnsi="Times New Roman"/>
          <w:sz w:val="18"/>
          <w:szCs w:val="18"/>
          <w:u w:val="single" w:color="auto"/>
          <w:color w:val="auto"/>
        </w:rPr>
        <w:t>Section 1.3(a)(ii)</w:t>
      </w:r>
      <w:r>
        <w:rPr>
          <w:rFonts w:ascii="Times New Roman" w:cs="Times New Roman" w:eastAsia="Times New Roman" w:hAnsi="Times New Roman"/>
          <w:sz w:val="18"/>
          <w:szCs w:val="18"/>
          <w:color w:val="auto"/>
        </w:rPr>
        <w:t xml:space="preserve"> above with respect to any Exiting Purchaser on each Settlement Date (or during the Liquidation Period or during the existence of any Event of Default that has not been waived in accordance with the terms of this Agreement, on such earlier date or dates as Agent or any applicable Purchaser Agent shall require on at least one (1) Business Day’s written notice to Servicer) to the applicable Purchaser Agent, to be applied to reduce the Investment of such Exiting Purchaser in the following order of priority: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the amount needed to be deposited in the related Cash Collateral Account for each applicable LOC Issuer to which such Exiting Purchaser has existing LOC Participation Obligations, pro rata among such LOC Issuers, until the amount on deposit in each such account equals the amount of the related LOC Participation Obligations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amount needed to reduce any other Investment of such Exiting Purchaser in the manner selected by such Purchaser Agent, including the amount of any outstanding Funded Purchases, to zero.</w:t>
      </w:r>
    </w:p>
    <w:p>
      <w:pPr>
        <w:spacing w:after="0" w:line="189" w:lineRule="exact"/>
        <w:rPr>
          <w:rFonts w:ascii="Times New Roman" w:cs="Times New Roman" w:eastAsia="Times New Roman" w:hAnsi="Times New Roman"/>
          <w:sz w:val="18"/>
          <w:szCs w:val="18"/>
          <w:color w:val="auto"/>
        </w:rPr>
      </w:pPr>
    </w:p>
    <w:p>
      <w:pPr>
        <w:jc w:val="both"/>
        <w:ind w:firstLine="645"/>
        <w:spacing w:after="0" w:line="261" w:lineRule="auto"/>
        <w:tabs>
          <w:tab w:leader="none" w:pos="114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Purchasers’ Total Investment</w:t>
      </w:r>
      <w:r>
        <w:rPr>
          <w:rFonts w:ascii="Times New Roman" w:cs="Times New Roman" w:eastAsia="Times New Roman" w:hAnsi="Times New Roman"/>
          <w:sz w:val="18"/>
          <w:szCs w:val="18"/>
          <w:color w:val="auto"/>
        </w:rPr>
        <w:t>. The aggregate Purchasers’ Total Investment shall not be reduced by the amount of Collections set aside pursuant to this Section unless and until such Collections are actually received by the applicable Purchaser Agent for application hereunder to reduce Purchasers’ Total Investment (ratably according to the Commitment of each Committed Purchaser in the related Group) in accordance with the terms hereof.</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u w:val="single" w:color="auto"/>
          <w:color w:val="auto"/>
        </w:rPr>
        <w:t>Changes in Purchasers’ Total Commitment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5"/>
        <w:spacing w:after="0" w:line="258" w:lineRule="auto"/>
        <w:tabs>
          <w:tab w:leader="none" w:pos="1131"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may (subject to the terms and conditions hereof), not more than once each calendar quarter, reduce the Purchasers’ Total Commitment in whole, or ratably among the Groups in part, in a minimum amount of $20,000,000 (or a larger integral multiple of $1,000,000), upon at least ten (10) Business Days’ written notice to Agent and each Purchaser Agent (each, a “</w:t>
      </w:r>
      <w:r>
        <w:rPr>
          <w:rFonts w:ascii="Times New Roman" w:cs="Times New Roman" w:eastAsia="Times New Roman" w:hAnsi="Times New Roman"/>
          <w:sz w:val="18"/>
          <w:szCs w:val="18"/>
          <w:u w:val="single" w:color="auto"/>
          <w:color w:val="auto"/>
        </w:rPr>
        <w:t>Commitment Reduction Notice</w:t>
      </w:r>
      <w:r>
        <w:rPr>
          <w:rFonts w:ascii="Times New Roman" w:cs="Times New Roman" w:eastAsia="Times New Roman" w:hAnsi="Times New Roman"/>
          <w:sz w:val="18"/>
          <w:szCs w:val="18"/>
          <w:color w:val="auto"/>
        </w:rPr>
        <w:t xml:space="preserve">”), which notice shall specify the aggregate amount of any such reduction and the applicable proposed respective amounts thereof applicable to each Committed Purchaser, </w:t>
      </w:r>
      <w:r>
        <w:rPr>
          <w:rFonts w:ascii="Times New Roman" w:cs="Times New Roman" w:eastAsia="Times New Roman" w:hAnsi="Times New Roman"/>
          <w:sz w:val="18"/>
          <w:szCs w:val="18"/>
          <w:u w:val="single" w:color="auto"/>
          <w:color w:val="auto"/>
        </w:rPr>
        <w:t>provided</w:t>
      </w:r>
    </w:p>
    <w:p>
      <w:pPr>
        <w:spacing w:after="0" w:line="200" w:lineRule="exact"/>
        <w:rPr>
          <w:sz w:val="20"/>
          <w:szCs w:val="20"/>
          <w:color w:val="auto"/>
        </w:rPr>
      </w:pPr>
    </w:p>
    <w:p>
      <w:pPr>
        <w:spacing w:after="0" w:line="372"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23" w:name="page424"/>
    <w:bookmarkEnd w:id="423"/>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that (i) the amount of the Purchasers’ Total Commitment may not be reduced below the Purchasers’ Total Investment unless accompanied by a prepayment in the amount necessary to ensure that the Purchasers’ Total Investment does not exceed the Purchasers’ Total Commitment, (ii) the amount of any Purchaser’s Commitment may not be reduced below such Purchaser’s Investment unless accompanied by a prepayment in the amount necessary to ensure that its Investment does not exceed its total Commitment, (iii) the amount of any Committed Purchaser’s Commitment may not be reduced below $35,000,000 unless such Committed Purchaser’s Commitment is terminated in full, and (iv) the amount of the Purchasers’ Total Commitment may not be reduced below $140,000,000 unless the Purchasers’ Total Commitment is terminated in full. All accrued and unpaid fees, including any broken funding costs, if any, shall be payable to (i) to Purchaser Agents, Purchasers, LOC Issuers and Secured Parties on the effective date of any termination of the Purchasers’ Total Commitment and (ii) to the affected Purchaser Agents, Purchasers, LOC Issuers and Secured Parties on the effective date of the termination of any Committed Purchaser’s Commitment. Each Commitment Reduction Notice shall be irrevocable once delivered to any Purchaser Agent and the Agent.</w:t>
      </w:r>
    </w:p>
    <w:p>
      <w:pPr>
        <w:spacing w:after="0" w:line="186" w:lineRule="exact"/>
        <w:rPr>
          <w:sz w:val="20"/>
          <w:szCs w:val="20"/>
          <w:color w:val="auto"/>
        </w:rPr>
      </w:pPr>
    </w:p>
    <w:p>
      <w:pPr>
        <w:jc w:val="both"/>
        <w:ind w:left="4" w:firstLine="645"/>
        <w:spacing w:after="0" w:line="255" w:lineRule="auto"/>
        <w:tabs>
          <w:tab w:leader="none" w:pos="1063"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without limiting any other requirements for termination, prepayment or the funding of the Cash Collateral Account hereunder, no termination or reduction of the Purchasers’ Total Commitment, any Defaulting Purchaser’s Commitment or Commitment under any provision hereof shall be effective unless and until (i) in the case of a termination, the amount on deposit in the applicable Cash Collateral Account is at least equal to the then outstanding LOC Participation Obligations of the affected Committed Purchaser and (ii) in the case of a partial reduction, the amount on deposit in the Cash Collateral Account is at least equal to the excess, if any, of the then outstanding LOC Participation Obligations of the affected Committed Purchaser over the Purchasers’ Total Commitment or each such Purchaser’s Commitment, as applicable, as so reduced by such partial reduction.</w:t>
      </w:r>
    </w:p>
    <w:p>
      <w:pPr>
        <w:spacing w:after="0" w:line="185" w:lineRule="exact"/>
        <w:rPr>
          <w:sz w:val="20"/>
          <w:szCs w:val="20"/>
          <w:color w:val="auto"/>
        </w:rPr>
      </w:pPr>
    </w:p>
    <w:p>
      <w:pPr>
        <w:ind w:left="4"/>
        <w:spacing w:after="0"/>
        <w:tabs>
          <w:tab w:leader="none" w:pos="1243"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8"/>
          <w:szCs w:val="18"/>
          <w:u w:val="single" w:color="auto"/>
          <w:color w:val="auto"/>
        </w:rPr>
        <w:t>Issuance of Letters of Credit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5"/>
        <w:spacing w:after="0" w:line="261" w:lineRule="auto"/>
        <w:tabs>
          <w:tab w:leader="none" w:pos="105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issued hereunder shall, among other things, (i) provide for the payment of sight drafts or other written demands for payment when presented for honor thereunder in accordance with the terms thereof and when accompanied by the documents described therein,</w:t>
      </w:r>
    </w:p>
    <w:p>
      <w:pPr>
        <w:jc w:val="both"/>
        <w:ind w:left="4" w:hanging="4"/>
        <w:spacing w:after="0" w:line="252" w:lineRule="auto"/>
        <w:tabs>
          <w:tab w:leader="none" w:pos="272"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an expiry date not later than twelve (12) months after such Letter of Credit’s date of issuance or requested extension or renewal, as the case may be, in accordance with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and (iii) be in form and substance reasonably acceptable to the applicable LOC Issuer in its sole discretion. Each Letter of Credit shall be subject either to the Uniform Customs and Practice for Documentary Credits (2007 Revision), International Chamber of Commerce Publication No. 600, and any amendments or revisions thereof adhered to each respective LOC Issuer (“</w:t>
      </w:r>
      <w:r>
        <w:rPr>
          <w:rFonts w:ascii="Times New Roman" w:cs="Times New Roman" w:eastAsia="Times New Roman" w:hAnsi="Times New Roman"/>
          <w:sz w:val="18"/>
          <w:szCs w:val="18"/>
          <w:u w:val="single" w:color="auto"/>
          <w:color w:val="auto"/>
        </w:rPr>
        <w:t>UCP 600</w:t>
      </w:r>
      <w:r>
        <w:rPr>
          <w:rFonts w:ascii="Times New Roman" w:cs="Times New Roman" w:eastAsia="Times New Roman" w:hAnsi="Times New Roman"/>
          <w:sz w:val="18"/>
          <w:szCs w:val="18"/>
          <w:color w:val="auto"/>
        </w:rPr>
        <w:t>”) or the International Standby Practices (ISP98-International Chamber of Commerce Publication Number 590), and any amendments or revisions thereof adhered to by each respective LOC Issuer (the “</w:t>
      </w:r>
      <w:r>
        <w:rPr>
          <w:rFonts w:ascii="Times New Roman" w:cs="Times New Roman" w:eastAsia="Times New Roman" w:hAnsi="Times New Roman"/>
          <w:sz w:val="18"/>
          <w:szCs w:val="18"/>
          <w:u w:val="single" w:color="auto"/>
          <w:color w:val="auto"/>
        </w:rPr>
        <w:t>ISP98 Rules</w:t>
      </w:r>
      <w:r>
        <w:rPr>
          <w:rFonts w:ascii="Times New Roman" w:cs="Times New Roman" w:eastAsia="Times New Roman" w:hAnsi="Times New Roman"/>
          <w:sz w:val="18"/>
          <w:szCs w:val="18"/>
          <w:color w:val="auto"/>
        </w:rPr>
        <w:t>”), as determined by such LOC Issuer for itself.</w:t>
      </w:r>
    </w:p>
    <w:p>
      <w:pPr>
        <w:spacing w:after="0" w:line="200" w:lineRule="exact"/>
        <w:rPr>
          <w:sz w:val="20"/>
          <w:szCs w:val="20"/>
          <w:color w:val="auto"/>
        </w:rPr>
      </w:pPr>
    </w:p>
    <w:p>
      <w:pPr>
        <w:spacing w:after="0" w:line="379"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24" w:name="page425"/>
    <w:bookmarkEnd w:id="424"/>
    <w:p>
      <w:pPr>
        <w:jc w:val="both"/>
        <w:ind w:right="20" w:firstLine="645"/>
        <w:spacing w:after="0" w:line="261" w:lineRule="auto"/>
        <w:tabs>
          <w:tab w:leader="none" w:pos="105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authorize and direct each LOC Issuer to name Seller, on behalf of, or “for the benefit of” Originator, as the “Applicant” or “Account Party” (as applicable) of each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either case, in no event shall any Person (including Originator) other than the Seller or Seller in such capacity be the “Applicant” or “Account Party” (as applicable) under any Letter of Credit or otherwise have any obligation to reimburse any LOC Issuer under the terms of any Letter of Credit.</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8"/>
          <w:szCs w:val="18"/>
          <w:u w:val="single" w:color="auto"/>
          <w:color w:val="auto"/>
        </w:rPr>
        <w:t>Letter of Credit Group Disbursements, Reimbursement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5"/>
        <w:spacing w:after="0" w:line="261" w:lineRule="auto"/>
        <w:tabs>
          <w:tab w:leader="none" w:pos="104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Immediately upon the issuance of each Letter of Credit issued by an LOC Issuer, each LOC Group Participant belonging to such LOC Issuer’s LOC Group shall be deemed to, and hereby irrevocably and unconditionally agrees to, purchase from such LOC Issuer in its LOC Group a participation in such Letter of Credit and each drawing thereunder in an amount equal to such LOC Group Participant’s ratable share of the Stated Amount of such Letter of Credit and the amount of such drawing, respectively.</w:t>
      </w:r>
    </w:p>
    <w:p>
      <w:pPr>
        <w:spacing w:after="0" w:line="180" w:lineRule="exact"/>
        <w:rPr>
          <w:rFonts w:ascii="Times New Roman" w:cs="Times New Roman" w:eastAsia="Times New Roman" w:hAnsi="Times New Roman"/>
          <w:sz w:val="18"/>
          <w:szCs w:val="18"/>
          <w:color w:val="auto"/>
        </w:rPr>
      </w:pPr>
    </w:p>
    <w:p>
      <w:pPr>
        <w:jc w:val="both"/>
        <w:ind w:left="640" w:firstLine="653"/>
        <w:spacing w:after="0" w:line="254" w:lineRule="auto"/>
        <w:tabs>
          <w:tab w:leader="none" w:pos="1725"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event that the Stated Amount of any Letter of Credit is reduced (including reduction with respect to the Stated Amount of such Letter of Credit due to such Letter of Credit being irrevocably returned or canceled or expiring and, in each case, not being able to be drawn upon) and, as a result of such reduction (which, for the avoidance of doubt, shall be made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the proportion of the Investment of any Committed Purchaser to the Purchasers’ Total Investment is not in the same proportion as the Commitment of such Committed Purchaser is to the Purchasers’ Total Commitment at such time, then such Committed Purchaser shall at such time, and hereby shall be deemed, to purchase from the other applicable Committed Purchasers (including, if applicable, those not in its LOC Group), and such other Committed Purchasers shall at such time, and shall hereby be deemed to, sell a participation interest in a Letter of Credit issued by such other Committed Purchasers in the amount that will equalize such proportions across all Committed Purchasers and such participations. All such purchases and sales shall reduce or increase, as applicable, each affected Committed Purchaser’s Investment in the amount of such sale or purchase.</w:t>
      </w:r>
    </w:p>
    <w:p>
      <w:pPr>
        <w:spacing w:after="0" w:line="186" w:lineRule="exact"/>
        <w:rPr>
          <w:rFonts w:ascii="Times New Roman" w:cs="Times New Roman" w:eastAsia="Times New Roman" w:hAnsi="Times New Roman"/>
          <w:sz w:val="18"/>
          <w:szCs w:val="18"/>
          <w:color w:val="auto"/>
        </w:rPr>
      </w:pPr>
    </w:p>
    <w:p>
      <w:pPr>
        <w:ind w:left="2360" w:hanging="419"/>
        <w:spacing w:after="0"/>
        <w:tabs>
          <w:tab w:leader="none" w:pos="2360"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deemed purchases of participation interests occur (or are otherwise outstanding) in accordance with </w:t>
      </w:r>
      <w:r>
        <w:rPr>
          <w:rFonts w:ascii="Times New Roman" w:cs="Times New Roman" w:eastAsia="Times New Roman" w:hAnsi="Times New Roman"/>
          <w:sz w:val="18"/>
          <w:szCs w:val="18"/>
          <w:u w:val="single" w:color="auto"/>
          <w:color w:val="auto"/>
        </w:rPr>
        <w:t>clause (ii)</w:t>
      </w:r>
    </w:p>
    <w:p>
      <w:pPr>
        <w:spacing w:after="0" w:line="27"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above, the Seller shall by the later of (I) ten (10) Business Days thereafter and (II) the next Settlement Date thereafter, reduce the Stated Amount of such Letters of Credit, request a LOC Purchase or LOC Purchases hereunder, or otherwise cause the reallocation of the Investment among Groups and LOC Issuer so that after giving effect thereto: (x) each LOC Issuer only has LOC Participation Obligations from the Committed Purchasers in its LOC Group, (y) each Committed Purchaser only has LOC Participation Obligations to the LOC Issuer(s) in its LOC Group in proportion to its applicable Ratable Share and LOC Group Ratable Share, as applicable, and (z) solely if there is more than one LOC Issuer, each Letter of Credit outstanding at such time has an expiry date such that each Committed</w:t>
      </w:r>
    </w:p>
    <w:p>
      <w:pPr>
        <w:spacing w:after="0" w:line="200" w:lineRule="exact"/>
        <w:rPr>
          <w:sz w:val="20"/>
          <w:szCs w:val="20"/>
          <w:color w:val="auto"/>
        </w:rPr>
      </w:pPr>
    </w:p>
    <w:p>
      <w:pPr>
        <w:spacing w:after="0" w:line="377"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25" w:name="page426"/>
    <w:bookmarkEnd w:id="425"/>
    <w:p>
      <w:pPr>
        <w:ind w:left="760"/>
        <w:spacing w:after="0"/>
        <w:rPr>
          <w:sz w:val="20"/>
          <w:szCs w:val="20"/>
          <w:color w:val="auto"/>
        </w:rPr>
      </w:pPr>
      <w:r>
        <w:rPr>
          <w:rFonts w:ascii="Times New Roman" w:cs="Times New Roman" w:eastAsia="Times New Roman" w:hAnsi="Times New Roman"/>
          <w:sz w:val="18"/>
          <w:szCs w:val="18"/>
          <w:color w:val="auto"/>
        </w:rPr>
        <w:t>Purchaser shall have the same tenor of its aggregate LOC Exposure as each other Committed Purchaser has as of such date.</w:t>
      </w:r>
    </w:p>
    <w:p>
      <w:pPr>
        <w:spacing w:after="0" w:line="225" w:lineRule="exact"/>
        <w:rPr>
          <w:sz w:val="20"/>
          <w:szCs w:val="20"/>
          <w:color w:val="auto"/>
        </w:rPr>
      </w:pPr>
    </w:p>
    <w:p>
      <w:pPr>
        <w:jc w:val="both"/>
        <w:ind w:left="-540" w:firstLine="645"/>
        <w:spacing w:after="0" w:line="253" w:lineRule="auto"/>
        <w:tabs>
          <w:tab w:leader="none" w:pos="54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request for a drawing under a Letter of Credit issued by an LOC Issuer by the beneficiary or transferee thereof, such LOC Issuer will promptly notify the Agent, the related Purchaser Agents and Seller of such request. Seller shall reimburse (such obligation to reimburse the applicable LOC Issuer shall sometimes be referred to as a “</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the applicable LOC Issuer, prior to 12:00 p.m. (New York City time) on each date that an amount is paid by the LOC Issuer under any Letter of Credit (each such date, a “</w:t>
      </w: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in an amount equal to the amount so paid by such LOC Issuer. In the event Seller fails to reimburse the applicable LOC Issuer for the full amount of any drawing under any Letter of Credit by 12:00 p.m. (New York City time) with respect to such reimbursement failure, on the applicable Drawing Date, such LOC Issuer will promptly notify the related Purchaser Agent of each LOC Group Participant thereof, and Seller shall be deemed to have requested that a Funded Purchase be made ratably by the related LOC Group Participants to be disbursed on the Drawing Date under such Letter of Credit in accordance with </w:t>
      </w:r>
      <w:r>
        <w:rPr>
          <w:rFonts w:ascii="Times New Roman" w:cs="Times New Roman" w:eastAsia="Times New Roman" w:hAnsi="Times New Roman"/>
          <w:sz w:val="18"/>
          <w:szCs w:val="18"/>
          <w:u w:val="single" w:color="auto"/>
          <w:color w:val="auto"/>
        </w:rPr>
        <w:t>Section 1.1(b)(iii)</w:t>
      </w:r>
      <w:r>
        <w:rPr>
          <w:rFonts w:ascii="Times New Roman" w:cs="Times New Roman" w:eastAsia="Times New Roman" w:hAnsi="Times New Roman"/>
          <w:sz w:val="18"/>
          <w:szCs w:val="18"/>
          <w:color w:val="auto"/>
        </w:rPr>
        <w:t xml:space="preserve">. Any notice given by an LOC Issuer pursuant to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may be oral if promptly confirmed in writing by such LOC Issuer, the related Purchaser Agent or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2"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522"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applicable Purchaser Agent shall promptly notify each of its related LOC Group Participant’s of such Funded Purchase request and each such LOC Group Participant shall pay to the applicable LOC Issuer an amount in immediately available funds equal to its Ratable Share of the amount of the drawing in accordance with the terms of this Agreement, as applicable, whereupon such applicable LOC Group Participants shall each be deemed to have made a Funded Purchase in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Defaulting Purchaser that is a related LOC Group Participant that fails to make such deemed Funded Purchase or any portion thereof, the applicable amount of funds then on deposit in its related Cash Collateral Account necessary to cover such shortfall shall be withdrawn by the applicable Purchaser Agent and paid over to the applicable LOC Issuer to make such Funded Purchase on such date for such purpose. If any Committed Purchaser so notified fails to make available to the applicable LOC Issuer the amount of such LOC Group Participant’s Ratable Share of such amount by no later than 2:00 p.m. (New York City time) on the Drawing Date, then interest shall accrue on such Committed Purchaser’s obligation to make such payment, from the Drawing Date to the date on which such Committed Purchaser makes such payment (i) at a rate per annum equal to the Federal Funds Rate during the first three days following the Drawing Date plus 2.00% and (ii)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Bank Rate plus 2.00% on and after the fourth day following the Drawing Date. Each LOC Issuer will promptly give notice of the occurrence of the Drawing Date affecting it, but failure of an LOC Issuer to give any such notice on a Drawing Date or in sufficient time to enable any related Committed Purchaser to effect such payment on such date shall not relieve such Committed Purchaser from its obligation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Committed Purchaser shall not be obligated to pay interest as provided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until and commencing from the date of receipt of notice</w:t>
      </w:r>
    </w:p>
    <w:p>
      <w:pPr>
        <w:spacing w:after="0" w:line="200" w:lineRule="exact"/>
        <w:rPr>
          <w:sz w:val="20"/>
          <w:szCs w:val="20"/>
          <w:color w:val="auto"/>
        </w:rPr>
      </w:pPr>
    </w:p>
    <w:p>
      <w:pPr>
        <w:spacing w:after="0" w:line="386"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26" w:name="page427"/>
    <w:bookmarkEnd w:id="426"/>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from the applicable LOC Issuer, Agent or the applicable Purchaser Agent of a drawing. Each Exiting Purchaser’s obligation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as a LOC Group Participant shall terminate to the extent that its LOC Participation Obligations have been cash collateralized in accordance with </w:t>
      </w:r>
      <w:r>
        <w:rPr>
          <w:rFonts w:ascii="Times New Roman" w:cs="Times New Roman" w:eastAsia="Times New Roman" w:hAnsi="Times New Roman"/>
          <w:sz w:val="18"/>
          <w:szCs w:val="18"/>
          <w:u w:val="single" w:color="auto"/>
          <w:color w:val="auto"/>
        </w:rPr>
        <w:t>Section 1.3(c)(iv)</w:t>
      </w:r>
      <w:r>
        <w:rPr>
          <w:rFonts w:ascii="Times New Roman" w:cs="Times New Roman" w:eastAsia="Times New Roman" w:hAnsi="Times New Roman"/>
          <w:sz w:val="18"/>
          <w:szCs w:val="18"/>
          <w:color w:val="auto"/>
        </w:rPr>
        <w:t xml:space="preserve">. In addition, each Committed Purchaser’s obligation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as a LOC Group Participant shall continue until any of the following events have occurred: (A) the related LOC Issuer ceases to be obligated to issue or cause to be issued Letters of Credit hereunder; (B) no Letter of Credit issued by any LOC Issuer hereunder remains outstanding and uncancelled and the Purchase Termination Date has occurred; and</w:t>
      </w:r>
    </w:p>
    <w:p>
      <w:pPr>
        <w:spacing w:after="0" w:line="3" w:lineRule="exact"/>
        <w:rPr>
          <w:sz w:val="20"/>
          <w:szCs w:val="20"/>
          <w:color w:val="auto"/>
        </w:rPr>
      </w:pPr>
    </w:p>
    <w:p>
      <w:pPr>
        <w:ind w:left="660" w:hanging="4"/>
        <w:spacing w:after="0" w:line="261" w:lineRule="auto"/>
        <w:tabs>
          <w:tab w:leader="none" w:pos="957"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(other than Seller and Servicer) have been fully reimbursed for all payments made under or relating to any of the Letters of Credit issued hereunder and the Purchase Termination Date has occurred.</w:t>
      </w:r>
    </w:p>
    <w:p>
      <w:pPr>
        <w:spacing w:after="0" w:line="17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u w:val="single" w:color="auto"/>
          <w:color w:val="auto"/>
        </w:rPr>
        <w:t>Repayment of Letter of Credit Participation Advances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5"/>
        <w:spacing w:after="0" w:line="255" w:lineRule="auto"/>
        <w:tabs>
          <w:tab w:leader="none" w:pos="169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(and only upon) receipt by an LOC Issuer for its account of immediately available funds from Seller (i) in reimbursement of any payment made by such LOC Issuer under a Letter of Credit with respect to which any related Committed Purchaser has made a participation advance to such LOC Issuer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(ii) in payment of Yield on the Funded Purchases made or deemed to have been made in connection with any such draw, the applicable LOC Issuer will, subject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pay to the applicable Committed Purchaser, ratably (based on the outstanding drawn amounts funded by each such Committed Purchaser in respect of such Letter of Credit), in the same funds as those received by such LOC Issuer; it being understood that such LOC Issuer shall retain the ratable amount of such funds that were not the subject of any payment in respect of such Letter of Credit by any related Committed Purchaser.</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9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LOC Issuer is required at any time to return to Seller, or to a trustee, receiver, liquidator, custodian, or any official in any insolvency proceeding, any portion of the payments made by Seller to such LOC Issuer pursuant to this Agreement or any Letter of Credit issued by it in reimbursement of a payment made under any such Letter of Credit or interest or fee thereon or with respect thereto, each Committed Purchaser shall, on demand of such LOC Issuer, forthwith return to such LOC Issuer the amount of its Ratable Share of any amounts so irrevocably returned by such LOC Issuer plus interest thereon at the Federal Funds Rate to the extent such interest is payable or such other Person to whom such payment would be returned.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Seller agrees to be bound by the terms of the applicable Letter of Credit Application and by the applicable LOC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Issuer’s interpretations of any Letter of Credit it issues and by such LOC Issuer’s written regulations and customary practices relating to letters of credit, though each applicable LOC Issuer’s interpretation of such regulations and practices may be different from Seller’s own and from each others. In the event of a conflict between a Letter of Credit Application and this Agreement, this Agreement shall govern (unless such resolution of such conflict would adversely affect such LOC Issuer or its rights with respect to such Letter of Credit, in which case the terms of such Letter of Credit Application shall govern so long as the application of such term would not adversely affect any other Purchaser, Agent or other Secured Party hereunder). It is understood and agreed that, except in the case of gross negligence or willful misconduct by an LOC Issuer, as determined by</w:t>
      </w:r>
    </w:p>
    <w:p>
      <w:pPr>
        <w:spacing w:after="0" w:line="200" w:lineRule="exact"/>
        <w:rPr>
          <w:sz w:val="20"/>
          <w:szCs w:val="20"/>
          <w:color w:val="auto"/>
        </w:rPr>
      </w:pPr>
    </w:p>
    <w:p>
      <w:pPr>
        <w:spacing w:after="0" w:line="376"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27" w:name="page428"/>
    <w:bookmarkEnd w:id="427"/>
    <w:p>
      <w:pPr>
        <w:jc w:val="both"/>
        <w:spacing w:after="0" w:line="266" w:lineRule="auto"/>
        <w:rPr>
          <w:sz w:val="20"/>
          <w:szCs w:val="20"/>
          <w:color w:val="auto"/>
        </w:rPr>
      </w:pPr>
      <w:r>
        <w:rPr>
          <w:rFonts w:ascii="Times New Roman" w:cs="Times New Roman" w:eastAsia="Times New Roman" w:hAnsi="Times New Roman"/>
          <w:sz w:val="18"/>
          <w:szCs w:val="18"/>
          <w:color w:val="auto"/>
        </w:rPr>
        <w:t>a final non-appealable judgment of a Court of competent jurisdiction, such LOC Issuer shall not be liable for any error, breach, negligence and/or mistakes, whether of omission or commission, in following Seller’s instructions or those contained in the Letters of Credit issued by it or any modifications, amendments or supplements thereto.</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u w:val="single" w:color="auto"/>
          <w:color w:val="auto"/>
        </w:rPr>
        <w:t>Determination to Honor Drawing Request</w:t>
      </w:r>
      <w:r>
        <w:rPr>
          <w:rFonts w:ascii="Times New Roman" w:cs="Times New Roman" w:eastAsia="Times New Roman" w:hAnsi="Times New Roman"/>
          <w:sz w:val="18"/>
          <w:szCs w:val="18"/>
          <w:color w:val="auto"/>
        </w:rPr>
        <w:t>. In determining whether to honor any request for drawing under any Letter of Credit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beneficiary thereof, each LOC Issuer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u w:val="single" w:color="auto"/>
          <w:color w:val="auto"/>
        </w:rPr>
        <w:t>Nature of Participation and Reimbursement Obligations</w:t>
      </w:r>
      <w:r>
        <w:rPr>
          <w:rFonts w:ascii="Times New Roman" w:cs="Times New Roman" w:eastAsia="Times New Roman" w:hAnsi="Times New Roman"/>
          <w:sz w:val="18"/>
          <w:szCs w:val="18"/>
          <w:color w:val="auto"/>
        </w:rPr>
        <w:t>. Each Committed Purchaser’s obligation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to make participation advances as a result of a drawing under a Letter of Credit issued by the LOC Issuer(s) in its LOC Group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2.6(b)</w:t>
      </w:r>
      <w:r>
        <w:rPr>
          <w:rFonts w:ascii="Times New Roman" w:cs="Times New Roman" w:eastAsia="Times New Roman" w:hAnsi="Times New Roman"/>
          <w:sz w:val="18"/>
          <w:szCs w:val="18"/>
          <w:color w:val="auto"/>
        </w:rPr>
        <w:t xml:space="preserve"> and the obligations of Seller to reimburse each LOC Issuer upon a draw under a Letter of Credit, shall be absolute, unconditional and irrevocable, shall not be subject to any defenses whatsoever, and shall be performed strictly in accordance with the terms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under all circumstances, including the following circumstances:</w:t>
      </w:r>
    </w:p>
    <w:p>
      <w:pPr>
        <w:spacing w:after="0" w:line="184" w:lineRule="exact"/>
        <w:rPr>
          <w:sz w:val="20"/>
          <w:szCs w:val="20"/>
          <w:color w:val="auto"/>
        </w:rPr>
      </w:pPr>
    </w:p>
    <w:p>
      <w:pPr>
        <w:ind w:left="660" w:firstLine="645"/>
        <w:spacing w:after="0" w:line="282" w:lineRule="auto"/>
        <w:tabs>
          <w:tab w:leader="none" w:pos="177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set-off, counterclaim, recoupment, defense or other right which such Committed Purchaser may have against an LOC Issuer, Agent, any Purchaser Agent any Conduit Purchaser, another Committed Purchaser, Seller or any other Person for any reason whatsoever;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Seller or any other Person to comply with the conditions set forth in this Agreement for the making of a purchase, reinvestments, requests for Letters of Credit or otherwise, it being acknowledged that such conditions are not required for the making of participation advances hereunder;</w:t>
      </w:r>
    </w:p>
    <w:p>
      <w:pPr>
        <w:spacing w:after="0" w:line="176"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Letter of Credit;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7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of breach of warranty that might be made by Seller, any LOC Issuer, any Purchaser, any Purchaser Agent or any other Person against the beneficiary of a Letter of Credit, or the existence of any claim, set-off, defense or other right which Seller, any LOC Issuer, any Purchaser, any Purchaser Agent or any other Person may have at any time against a beneficiary, any successor beneficiary or any transferee of any Letter of Credit or the proceeds thereof (or any Persons for whom any such transferee may be acting), any LOC Issuer, any Purchaser, any Purchaser Agent or any other Person, whether in connection with this Agreement, the transactions contemplated herein or any unrelated transaction (including any underlying transaction between Seller or any Subsidiaries of Seller or any Affiliates of Seller and the beneficiary for which any Letter of Credit was procured);</w:t>
      </w:r>
    </w:p>
    <w:p>
      <w:pPr>
        <w:spacing w:after="0" w:line="189" w:lineRule="exact"/>
        <w:rPr>
          <w:rFonts w:ascii="Times New Roman" w:cs="Times New Roman" w:eastAsia="Times New Roman" w:hAnsi="Times New Roman"/>
          <w:sz w:val="18"/>
          <w:szCs w:val="18"/>
          <w:color w:val="auto"/>
        </w:rPr>
      </w:pPr>
    </w:p>
    <w:p>
      <w:pPr>
        <w:ind w:left="660" w:firstLine="645"/>
        <w:spacing w:after="0" w:line="282" w:lineRule="auto"/>
        <w:tabs>
          <w:tab w:leader="none" w:pos="173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power or authority of any signer of, or lack of validity, sufficiency, accuracy, enforceability or genuineness of, any draft, demand, instrument,</w:t>
      </w:r>
    </w:p>
    <w:p>
      <w:pPr>
        <w:spacing w:after="0" w:line="200" w:lineRule="exact"/>
        <w:rPr>
          <w:sz w:val="20"/>
          <w:szCs w:val="20"/>
          <w:color w:val="auto"/>
        </w:rPr>
      </w:pPr>
    </w:p>
    <w:p>
      <w:pPr>
        <w:spacing w:after="0" w:line="350"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28" w:name="page429"/>
    <w:bookmarkEnd w:id="428"/>
    <w:p>
      <w:pPr>
        <w:jc w:val="both"/>
        <w:spacing w:after="0" w:line="266" w:lineRule="auto"/>
        <w:rPr>
          <w:sz w:val="20"/>
          <w:szCs w:val="20"/>
          <w:color w:val="auto"/>
        </w:rPr>
      </w:pPr>
      <w:r>
        <w:rPr>
          <w:rFonts w:ascii="Times New Roman" w:cs="Times New Roman" w:eastAsia="Times New Roman" w:hAnsi="Times New Roman"/>
          <w:sz w:val="18"/>
          <w:szCs w:val="18"/>
          <w:color w:val="auto"/>
        </w:rPr>
        <w:t>certificate or other document presented under any Letter of Credit, or any such draft, demand, instrument, certificate or other document proving to be forged, fraudulent, invalid, defective or insufficient in any respect or any statement therein being untrue or inaccurate in any respect, even if an LOC Issuer, Agent, any Purchaser Agent or a Purchaser has been notified thereof;</w:t>
      </w:r>
    </w:p>
    <w:p>
      <w:pPr>
        <w:spacing w:after="0" w:line="176" w:lineRule="exact"/>
        <w:rPr>
          <w:sz w:val="20"/>
          <w:szCs w:val="20"/>
          <w:color w:val="auto"/>
        </w:rPr>
      </w:pPr>
    </w:p>
    <w:p>
      <w:pPr>
        <w:jc w:val="both"/>
        <w:ind w:firstLine="645"/>
        <w:spacing w:after="0" w:line="266" w:lineRule="auto"/>
        <w:tabs>
          <w:tab w:leader="none" w:pos="101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 LOC Issuer under a Letter of Credit issued by it against presentation of a demand, draft or certificate or other document which does not comply with the terms of such Letter of Credit other than as a result of the gross negligence or willful misconduct of such LOC Issuer;</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114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6"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an LOC Issuer or any of an LOC Issuer’s Affiliates to issue any Letter of Credit in the form requested by Seller;</w:t>
      </w:r>
    </w:p>
    <w:p>
      <w:pPr>
        <w:spacing w:after="0" w:line="225" w:lineRule="exact"/>
        <w:rPr>
          <w:rFonts w:ascii="Times New Roman" w:cs="Times New Roman" w:eastAsia="Times New Roman" w:hAnsi="Times New Roman"/>
          <w:sz w:val="18"/>
          <w:szCs w:val="18"/>
          <w:color w:val="auto"/>
        </w:rPr>
      </w:pPr>
    </w:p>
    <w:p>
      <w:pPr>
        <w:ind w:left="1000" w:hanging="355"/>
        <w:spacing w:after="0"/>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on Seller, Originator or any Affiliates thereof;</w:t>
      </w:r>
    </w:p>
    <w:p>
      <w:pPr>
        <w:spacing w:after="0" w:line="225" w:lineRule="exact"/>
        <w:rPr>
          <w:rFonts w:ascii="Times New Roman" w:cs="Times New Roman" w:eastAsia="Times New Roman" w:hAnsi="Times New Roman"/>
          <w:sz w:val="18"/>
          <w:szCs w:val="18"/>
          <w:color w:val="auto"/>
        </w:rPr>
      </w:pPr>
    </w:p>
    <w:p>
      <w:pPr>
        <w:ind w:left="1000" w:hanging="355"/>
        <w:spacing w:after="0"/>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this Agreement or any other Transaction Document by any party thereto;</w:t>
      </w:r>
    </w:p>
    <w:p>
      <w:pPr>
        <w:spacing w:after="0" w:line="225"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 Event of Default or an Unmatured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left="1000" w:hanging="355"/>
        <w:spacing w:after="0"/>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this Agreement or the obligations of Seller or Servicer hereunder shall have been terminated;</w:t>
      </w:r>
    </w:p>
    <w:p>
      <w:pPr>
        <w:spacing w:after="0" w:line="225" w:lineRule="exact"/>
        <w:rPr>
          <w:rFonts w:ascii="Times New Roman" w:cs="Times New Roman" w:eastAsia="Times New Roman" w:hAnsi="Times New Roman"/>
          <w:sz w:val="18"/>
          <w:szCs w:val="18"/>
          <w:color w:val="auto"/>
        </w:rPr>
      </w:pPr>
    </w:p>
    <w:p>
      <w:pPr>
        <w:ind w:left="1080" w:hanging="435"/>
        <w:spacing w:after="0"/>
        <w:tabs>
          <w:tab w:leader="none" w:pos="10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breach by any other Purchaser or LOC Issuer; and</w:t>
      </w:r>
    </w:p>
    <w:p>
      <w:pPr>
        <w:spacing w:after="0" w:line="225"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1.12</w:t>
      </w:r>
      <w:r>
        <w:rPr>
          <w:sz w:val="20"/>
          <w:szCs w:val="20"/>
          <w:color w:val="auto"/>
        </w:rPr>
        <w:tab/>
      </w:r>
      <w:r>
        <w:rPr>
          <w:rFonts w:ascii="Times New Roman" w:cs="Times New Roman" w:eastAsia="Times New Roman" w:hAnsi="Times New Roman"/>
          <w:sz w:val="18"/>
          <w:szCs w:val="18"/>
          <w:u w:val="single" w:color="auto"/>
          <w:color w:val="auto"/>
        </w:rPr>
        <w:t>Liability for Acts and Omissions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5"/>
        <w:spacing w:after="0" w:line="258" w:lineRule="auto"/>
        <w:tabs>
          <w:tab w:leader="none" w:pos="101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Seller, on the one hand, and each LOC Issuer and each other Indemnified Party, on the other, Seller assumes all risks of the acts and omissions of, or misuse of the Letters of Credit by, the respective beneficiaries of such Letters of Credit or such beneficiaries assignees except to the extent a loss results from any such act or omission or misuse solely as the result of the gross negligence or willful misconduct of the Indemnified Party as finally determined by a court of competent jurisdiction. In furtherance and not in limitation of the respective foregoing, no Indemnified Party shall be responsible for: (i) the form, validity, sufficiency, accuracy, genuineness or legal</w:t>
      </w:r>
    </w:p>
    <w:p>
      <w:pPr>
        <w:spacing w:after="0" w:line="200" w:lineRule="exact"/>
        <w:rPr>
          <w:sz w:val="20"/>
          <w:szCs w:val="20"/>
          <w:color w:val="auto"/>
        </w:rPr>
      </w:pPr>
    </w:p>
    <w:p>
      <w:pPr>
        <w:spacing w:after="0" w:line="372"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29" w:name="page430"/>
    <w:bookmarkEnd w:id="429"/>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effect of any document submitted by any party in connection with the application for an issuance of any such Letter of Credit, even if it should in fact prove to be in any or all respects invalid, insufficient, inaccurate, fraudulent or forged (even if such LOC Issuer or such other Indemnified Party shall have been notified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notification shall not affect any determination of gross negligence or willful misconduct);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Seller against any beneficiary of such Letter of Credit, or any such transferee, or any dispute between or among Seller and any beneficiary of any Letter of Credit or any such transferee; (iv) errors, omissions, interruptions or delays in transmission or delivery of any messages, by mail, cable, telegraph, telex or otherwise, whether or not they be encrypted;</w:t>
      </w:r>
    </w:p>
    <w:p>
      <w:pPr>
        <w:spacing w:after="0" w:line="7" w:lineRule="exact"/>
        <w:rPr>
          <w:sz w:val="20"/>
          <w:szCs w:val="20"/>
          <w:color w:val="auto"/>
        </w:rPr>
      </w:pPr>
    </w:p>
    <w:p>
      <w:pPr>
        <w:jc w:val="both"/>
        <w:ind w:left="4" w:hanging="4"/>
        <w:spacing w:after="0" w:line="252" w:lineRule="auto"/>
        <w:tabs>
          <w:tab w:leader="none" w:pos="272"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such Indemnified Party, and none of the above shall affect or impair, or prevent the vesting of, any of any LOC Issuer’s or any other Indemnified Party’s rights or powers hereunder. In no event shall any of such LOC Issuer or other Indemnified Party be liable to Seller or any other Person for any indirect, consequential, incidental, punitive, exemplary or special damages or expenses (including attorneys’ fees), or for any damages resulting from any change in the value of any property relating to a Letter of Credit.</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57" w:lineRule="auto"/>
        <w:tabs>
          <w:tab w:leader="none" w:pos="1133"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LOC Issuer and each other Indemnified Party (i) may rely on any written communication believed in good faith by such Person to have been authorized or given by or on behalf of the applicant for a Letter of Credit; (ii) may honor any presentation if the documents presented appear on their face to comply with the terms and conditions of the relevant Letter of Credit;</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42"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an LOC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any of an LOC Issuer or other Indemnified Party,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and honor any drawing in connection with any Letter of Credit that is the subject of such Order,</w:t>
      </w:r>
    </w:p>
    <w:p>
      <w:pPr>
        <w:spacing w:after="0" w:line="200" w:lineRule="exact"/>
        <w:rPr>
          <w:sz w:val="20"/>
          <w:szCs w:val="20"/>
          <w:color w:val="auto"/>
        </w:rPr>
      </w:pPr>
    </w:p>
    <w:p>
      <w:pPr>
        <w:spacing w:after="0" w:line="383"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30" w:name="page431"/>
    <w:bookmarkEnd w:id="430"/>
    <w:p>
      <w:pPr>
        <w:ind w:left="660" w:right="20"/>
        <w:spacing w:after="0" w:line="282" w:lineRule="auto"/>
        <w:rPr>
          <w:sz w:val="20"/>
          <w:szCs w:val="20"/>
          <w:color w:val="auto"/>
        </w:rPr>
      </w:pPr>
      <w:r>
        <w:rPr>
          <w:rFonts w:ascii="Times New Roman" w:cs="Times New Roman" w:eastAsia="Times New Roman" w:hAnsi="Times New Roman"/>
          <w:sz w:val="18"/>
          <w:szCs w:val="18"/>
          <w:color w:val="auto"/>
        </w:rPr>
        <w:t>notwithstanding that any drafts or other documents presented in connection with such Letter of Credit fail to conform in any way with such Letter of Credit.</w:t>
      </w:r>
    </w:p>
    <w:p>
      <w:pPr>
        <w:spacing w:after="0" w:line="162" w:lineRule="exact"/>
        <w:rPr>
          <w:sz w:val="20"/>
          <w:szCs w:val="20"/>
          <w:color w:val="auto"/>
        </w:rPr>
      </w:pPr>
    </w:p>
    <w:p>
      <w:pPr>
        <w:jc w:val="both"/>
        <w:ind w:left="660" w:firstLine="645"/>
        <w:spacing w:after="0" w:line="258" w:lineRule="auto"/>
        <w:tabs>
          <w:tab w:leader="none" w:pos="1732"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extension and not in limitation of the specific provisions set forth above, any action taken or omitted by an LOC Issuer or its related Purchaser Agent under or in connection with the Letters of Credit issued by it or any documents and certificates delivered thereunder, if taken or omitted in good faith and without gross negligence or willful misconduct, as determined by a final non-appealable judgment of a court of competent jurisdiction, shall not put such LOC Issuer or such related Purchaser Agent under any resulting liability to Seller, Servicer, Originator, any Purchaser, any Agent, any Purchaser Agent or any other Person.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u w:val="single" w:color="auto"/>
          <w:color w:val="auto"/>
        </w:rPr>
        <w:t>Termination or Reduction of Letters of Credit</w:t>
      </w:r>
      <w:r>
        <w:rPr>
          <w:rFonts w:ascii="Times New Roman" w:cs="Times New Roman" w:eastAsia="Times New Roman" w:hAnsi="Times New Roman"/>
          <w:sz w:val="18"/>
          <w:szCs w:val="18"/>
          <w:color w:val="auto"/>
        </w:rPr>
        <w:t>. An LOC Issuer shall only terminate or reduce the Stated Amount of a given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Credit issued by it upon receipt of appropriate documentation from the beneficiary thereof or, upon the irrevocable expiration thereof in accordance with its terms. In each such case, the LOC Issuer shall (i) provide prompt notice of such termination or reduction to the Seller, the Servicer and the Agent and the Agent shall promptly provide such notice to each Purchaser Agent, (ii) return to the Seller any cash collateral deposited by it under </w:t>
      </w:r>
      <w:r>
        <w:rPr>
          <w:rFonts w:ascii="Times New Roman" w:cs="Times New Roman" w:eastAsia="Times New Roman" w:hAnsi="Times New Roman"/>
          <w:sz w:val="18"/>
          <w:szCs w:val="18"/>
          <w:u w:val="single" w:color="auto"/>
          <w:color w:val="auto"/>
        </w:rPr>
        <w:t>Section 3.1(c)(iv)</w:t>
      </w:r>
      <w:r>
        <w:rPr>
          <w:rFonts w:ascii="Times New Roman" w:cs="Times New Roman" w:eastAsia="Times New Roman" w:hAnsi="Times New Roman"/>
          <w:sz w:val="18"/>
          <w:szCs w:val="18"/>
          <w:color w:val="auto"/>
        </w:rPr>
        <w:t xml:space="preserve"> in excess of the Stated Amount for such Letter of Credit after giving effect to such termination, reduction or expiration and (iii) return to the Seller any cash collateral deposited pursuant to </w:t>
      </w:r>
      <w:r>
        <w:rPr>
          <w:rFonts w:ascii="Times New Roman" w:cs="Times New Roman" w:eastAsia="Times New Roman" w:hAnsi="Times New Roman"/>
          <w:sz w:val="18"/>
          <w:szCs w:val="18"/>
          <w:u w:val="single" w:color="auto"/>
          <w:color w:val="auto"/>
        </w:rPr>
        <w:t>Section 1.3(c)(iv)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1.3(c)(v)</w:t>
      </w:r>
      <w:r>
        <w:rPr>
          <w:rFonts w:ascii="Times New Roman" w:cs="Times New Roman" w:eastAsia="Times New Roman" w:hAnsi="Times New Roman"/>
          <w:sz w:val="18"/>
          <w:szCs w:val="18"/>
          <w:color w:val="auto"/>
        </w:rPr>
        <w:t xml:space="preserve"> with respect to such Letter of Credit in respect of any applicable LOC Group Participant (or former LOC Group Participant) in excess of the amount required to be on deposit in the Cash Collateral Account with respect to such Letter of Credit pursuant to </w:t>
      </w:r>
      <w:r>
        <w:rPr>
          <w:rFonts w:ascii="Times New Roman" w:cs="Times New Roman" w:eastAsia="Times New Roman" w:hAnsi="Times New Roman"/>
          <w:sz w:val="18"/>
          <w:szCs w:val="18"/>
          <w:u w:val="single" w:color="auto"/>
          <w:color w:val="auto"/>
        </w:rPr>
        <w:t>Section 1.3(c)(iv)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1.3(c)(v)</w:t>
      </w:r>
      <w:r>
        <w:rPr>
          <w:rFonts w:ascii="Times New Roman" w:cs="Times New Roman" w:eastAsia="Times New Roman" w:hAnsi="Times New Roman"/>
          <w:sz w:val="18"/>
          <w:szCs w:val="18"/>
          <w:color w:val="auto"/>
        </w:rPr>
        <w:t xml:space="preserve"> after giving effect to such termination, reduction or expiration;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any amounts irrevocably returned to the Seller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deemed to be Collections and applied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For the avoidance of doubt, any termination or reduction of the Stated Amount of a Letter of Credit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reduce the LOC Participation Obligation and related Investment of any LOC Group Participant that is an Exiting Purchaser,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without duplication of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to reduce the LOC Participation Obligation and related Investment of any LOC Group Participant that is an Amortizing Purchaser,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with respect to any former LOC Group Participant whose LOC Participation Obligations have been terminated, replaced or expired, in whole or in part, by amounts on deposit in a Cash Collateral Account, to reduce the amount of cash collateral required to be on deposit in such Cash Collateral Account (which amount shall be returned to the Seller pursuant to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reduce,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the LOC Participation Obligations of each other LOC Group Participant.</w:t>
      </w:r>
    </w:p>
    <w:p>
      <w:pPr>
        <w:spacing w:after="0" w:line="18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1.14</w:t>
      </w:r>
      <w:r>
        <w:rPr>
          <w:sz w:val="20"/>
          <w:szCs w:val="20"/>
          <w:color w:val="auto"/>
        </w:rPr>
        <w:tab/>
      </w:r>
      <w:r>
        <w:rPr>
          <w:rFonts w:ascii="Times New Roman" w:cs="Times New Roman" w:eastAsia="Times New Roman" w:hAnsi="Times New Roman"/>
          <w:sz w:val="17"/>
          <w:szCs w:val="17"/>
          <w:u w:val="single" w:color="auto"/>
          <w:color w:val="auto"/>
        </w:rPr>
        <w:t>Tax Forms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5"/>
        <w:spacing w:after="0" w:line="258" w:lineRule="auto"/>
        <w:tabs>
          <w:tab w:leader="none" w:pos="1732"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Secured Party that is entitled to an exemption from or reduction of withholding Tax with respect to payments made under any Transaction Document shall deliver to the Seller and the Agent, at the time or times reasonably requested by the Seller or the Agent, such properly completed and executed documentation reasonably requested by the Seller or the Agent as will permit such payments to be made without withholding or at a reduced rate of withholding. In addition, any Secured Party, if reasonably requested by the Seller or the Agent, shall deliver such other documentation prescribed</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31" w:name="page432"/>
    <w:bookmarkEnd w:id="431"/>
    <w:p>
      <w:pPr>
        <w:ind w:left="660"/>
        <w:spacing w:after="0" w:line="282" w:lineRule="auto"/>
        <w:rPr>
          <w:sz w:val="20"/>
          <w:szCs w:val="20"/>
          <w:color w:val="auto"/>
        </w:rPr>
      </w:pPr>
      <w:r>
        <w:rPr>
          <w:rFonts w:ascii="Times New Roman" w:cs="Times New Roman" w:eastAsia="Times New Roman" w:hAnsi="Times New Roman"/>
          <w:sz w:val="18"/>
          <w:szCs w:val="18"/>
          <w:color w:val="auto"/>
        </w:rPr>
        <w:t>by applicable law or reasonably requested by the Seller or the Agent as will enable the Seller or the Agent to determine whether or not such Secured Party is subject to backup withholding or information reporting requirements.</w:t>
      </w:r>
    </w:p>
    <w:p>
      <w:pPr>
        <w:spacing w:after="0" w:line="162" w:lineRule="exact"/>
        <w:rPr>
          <w:sz w:val="20"/>
          <w:szCs w:val="20"/>
          <w:color w:val="auto"/>
        </w:rPr>
      </w:pPr>
    </w:p>
    <w:p>
      <w:pPr>
        <w:jc w:val="both"/>
        <w:ind w:left="660" w:firstLine="645"/>
        <w:spacing w:after="0" w:line="256" w:lineRule="auto"/>
        <w:tabs>
          <w:tab w:leader="none" w:pos="17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shall deliver to the Seller and the Agent such tax forms or other documents as shall be prescribed by applicable law, to the extent applicable, (x) to demonstrate that payments to such Secured Party under any Transaction Document are exempt from any United States withholding tax imposed pursuant to FATCA, and (y) to allow the Seller and Agent to determine the amount to deduct or withhold under FATCA from a payment under any Transaction Document. Each Secured Party further agrees to complete and to deliver to the Seller and the Agent from time to time, so long as it is eligible to do so, any successor or additional form required by the Internal Revenue Service or reasonably requested by the Seller or Agent in order to secure an exemption from, or reduction in the rate of, withholding tax imposed pursuant to FATCA.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COMPUTATIONAL RULES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Selection of Rate Tranches</w:t>
      </w:r>
      <w:r>
        <w:rPr>
          <w:rFonts w:ascii="Times New Roman" w:cs="Times New Roman" w:eastAsia="Times New Roman" w:hAnsi="Times New Roman"/>
          <w:sz w:val="18"/>
          <w:szCs w:val="18"/>
          <w:color w:val="auto"/>
        </w:rPr>
        <w:t>. Subject to the requirements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each Purchaser Agent shall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for purposes of computing Yield with respect to each Purchaser in its Group, divide the Asset Interest into one or more Rate Tranches, and the applicable Yield Rate may be different for each Rate Tranche. Each Purchaser’s Investment shall be allocated to each Rate Tranche by related Purchaser Agent to reflect the funding sources for each portion of the Asset Interest, so that:</w:t>
      </w:r>
    </w:p>
    <w:p>
      <w:pPr>
        <w:spacing w:after="0" w:line="181" w:lineRule="exact"/>
        <w:rPr>
          <w:sz w:val="20"/>
          <w:szCs w:val="20"/>
          <w:color w:val="auto"/>
        </w:rPr>
      </w:pPr>
    </w:p>
    <w:p>
      <w:pPr>
        <w:jc w:val="both"/>
        <w:ind w:left="660" w:firstLine="645"/>
        <w:spacing w:after="0" w:line="266" w:lineRule="auto"/>
        <w:tabs>
          <w:tab w:leader="none" w:pos="171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one or more Rate Tranches, selected by each Purchaser Agent, reflecting the portion, if any, of the Asset Interest funded or maintained by each Committed Purchaser other than through the issuance of Commercial Paper Notes or Letters of Credit (including by outstanding Liquidity Advances or by funding under an Enhancement Agreement);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80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one or more Rate Tranches, selected by each Purchaser Agent, reflecting the portion, if any, of the Asset Interest representing, and funded by, the Stated Amount of Letters of Credit issued by the related LOC Issuer;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01"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will be a Rate Tranche, selected by each Purchaser Agent, equal to the excess of each Purchaser’s Investment over the aggregate amounts allocated at such time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which Rate Tranche shall reflect the portion of the Asset Interest funded or maintained by Commercial Paper Notes.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applicable Purchaser Agent may, in its sole discretion at any time and from time to time, declare any Yield Period applicable to any Purchaser’s Investment to be terminated and allocate the portion of such Purchaser’s Investment allocated to such Yield Period to one or more other Yield Periods and Yield Rates as such Purchaser Agent shall select.</w:t>
      </w:r>
    </w:p>
    <w:p>
      <w:pPr>
        <w:spacing w:after="0" w:line="200" w:lineRule="exact"/>
        <w:rPr>
          <w:sz w:val="20"/>
          <w:szCs w:val="20"/>
          <w:color w:val="auto"/>
        </w:rPr>
      </w:pPr>
    </w:p>
    <w:p>
      <w:pPr>
        <w:spacing w:after="0" w:line="36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32" w:name="page433"/>
    <w:bookmarkEnd w:id="432"/>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8"/>
          <w:szCs w:val="18"/>
          <w:u w:val="single" w:color="auto"/>
          <w:color w:val="auto"/>
        </w:rPr>
        <w:t>Computation of each Purchaser’s Investment and each Purchaser’s Tranche Investment</w:t>
      </w:r>
      <w:r>
        <w:rPr>
          <w:rFonts w:ascii="Times New Roman" w:cs="Times New Roman" w:eastAsia="Times New Roman" w:hAnsi="Times New Roman"/>
          <w:sz w:val="18"/>
          <w:szCs w:val="18"/>
          <w:color w:val="auto"/>
        </w:rPr>
        <w:t>. In making any determination of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Total Investment and any Purchaser’s Tranche Investment, the following rules shall apply:</w:t>
      </w:r>
    </w:p>
    <w:p>
      <w:pPr>
        <w:spacing w:after="0" w:line="207" w:lineRule="exact"/>
        <w:rPr>
          <w:sz w:val="20"/>
          <w:szCs w:val="20"/>
          <w:color w:val="auto"/>
        </w:rPr>
      </w:pPr>
    </w:p>
    <w:p>
      <w:pPr>
        <w:ind w:left="660" w:right="20" w:firstLine="645"/>
        <w:spacing w:after="0" w:line="282" w:lineRule="auto"/>
        <w:tabs>
          <w:tab w:leader="none" w:pos="18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Purchaser’s Investment shall not be considered reduced by any allocation, setting aside or distribution of any portion of Collections unless such Collections shall have been actually received by the applicable Purchaser Agent in accordance with the terms hereof;</w:t>
      </w:r>
    </w:p>
    <w:p>
      <w:pPr>
        <w:spacing w:after="0" w:line="161"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176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Purchaser’s Investment (or any other amounts payable under any Transaction Document) shall not be considered reduced (or paid) by any distribution of any portion of Collections or other payments, as applicable (including, deposit thereof into any Cash Collateral Account), if at any time such distribution or payment is rescinded or must otherwise be returned for any reason; and</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8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any reduction in any Purchaser’s Investment, there shall be a corresponding reduction in such Purchaser’s Tranche Investment with respect to one or more Rate Tranches selected by the related Purchaser Agent in its sole discretion (subject to </w:t>
      </w:r>
      <w:r>
        <w:rPr>
          <w:rFonts w:ascii="Times New Roman" w:cs="Times New Roman" w:eastAsia="Times New Roman" w:hAnsi="Times New Roman"/>
          <w:sz w:val="18"/>
          <w:szCs w:val="18"/>
          <w:u w:val="single" w:color="auto"/>
          <w:color w:val="auto"/>
        </w:rPr>
        <w:t>Section 1.3(c)(iii)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Computation of Concentration Limit and Unpaid Balance</w:t>
      </w:r>
      <w:r>
        <w:rPr>
          <w:rFonts w:ascii="Times New Roman" w:cs="Times New Roman" w:eastAsia="Times New Roman" w:hAnsi="Times New Roman"/>
          <w:sz w:val="18"/>
          <w:szCs w:val="18"/>
          <w:color w:val="auto"/>
        </w:rPr>
        <w:t>. In the case of any Obligor which is an Affiliate of any other Obligor,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 Limit and the aggregate Unpaid Balance of Pool Receivables of such Obligors shall be calculated as if such Obligors were a single Obligor.</w:t>
      </w:r>
    </w:p>
    <w:p>
      <w:pPr>
        <w:spacing w:after="0" w:line="15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u w:val="single" w:color="auto"/>
          <w:color w:val="auto"/>
        </w:rPr>
        <w:t>Computation of Yield</w:t>
      </w:r>
      <w:r>
        <w:rPr>
          <w:rFonts w:ascii="Times New Roman" w:cs="Times New Roman" w:eastAsia="Times New Roman" w:hAnsi="Times New Roman"/>
          <w:sz w:val="17"/>
          <w:szCs w:val="17"/>
          <w:color w:val="auto"/>
        </w:rPr>
        <w:t>. In making any determination of Yield, the following rules shall apply:</w:t>
      </w:r>
    </w:p>
    <w:p>
      <w:pPr>
        <w:spacing w:after="0" w:line="229" w:lineRule="exact"/>
        <w:rPr>
          <w:sz w:val="20"/>
          <w:szCs w:val="20"/>
          <w:color w:val="auto"/>
        </w:rPr>
      </w:pPr>
    </w:p>
    <w:p>
      <w:pPr>
        <w:jc w:val="both"/>
        <w:ind w:left="660" w:firstLine="645"/>
        <w:spacing w:after="0" w:line="266" w:lineRule="auto"/>
        <w:tabs>
          <w:tab w:leader="none" w:pos="179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Agent shall determine the Yield accruing with respect to each Rate Tranche, based on the Yield Period therefor determined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other terms hereof (or, in the case of the Rate Tranche funded by Commercial Paper Notes, each Settlement Period), in accordance with the definition of Yield;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5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payment or permit the collection of Yield in excess of the maximum permitted by applicable Law;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7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for any Rate Tranche shall not be considered paid by any distribution or other payment if at any time such distribution or payment is rescinded or must otherwise be returned for any reason.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u w:val="single" w:color="auto"/>
          <w:color w:val="auto"/>
        </w:rPr>
        <w:t>Estimates of Yield Rate, Fees, Etc</w:t>
      </w:r>
      <w:r>
        <w:rPr>
          <w:rFonts w:ascii="Times New Roman" w:cs="Times New Roman" w:eastAsia="Times New Roman" w:hAnsi="Times New Roman"/>
          <w:sz w:val="18"/>
          <w:szCs w:val="18"/>
          <w:color w:val="auto"/>
        </w:rPr>
        <w:t>. It is understood and agreed that (a) the Yield Rate for any Rate Tranche may change from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Yield Period or Settlement Period to the next, and the applicable Bank Rate, Base Rate or CP Rate used to calculate the applicable Yield Rate may change from time to time and at any time during an applicable Yield Period or Settlement Period, (b) any rate information provided by Agent or any Purchaser Agent to Seller or Servicer shall be based upon Agent’s or any Purchaser Agent’s good faith estimate, as applicable, (c) the amount of Yield actually accrued with respect to a Rate</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0" w:right="239" w:bottom="1440" w:gutter="0" w:footer="0" w:header="0"/>
        </w:sectPr>
      </w:pPr>
    </w:p>
    <w:bookmarkStart w:id="433" w:name="page434"/>
    <w:bookmarkEnd w:id="43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Tranche during any Yield Period (or, in the case of the Rate Tranche funded by Commercial Paper Notes, any Settlement Period) may exceed, or be less than, the amount set aside with respect thereto by Servicer, and (d) the amount of fees or other amounts payable to Agent, any Purchaser or any other Secured Party accrued hereunder with respect to any Settlement Period may exceed, or be less than, the amount set aside with respect thereto by Servicer. Failure to set aside any amount so accrued shall not relieve Servicer of its obligation to remit Collections to Agent, the applicable Purchaser Agent or otherwise to any other Person with respect to such accrued amount, as and to the extent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8"/>
          <w:szCs w:val="18"/>
          <w:u w:val="single" w:color="auto"/>
          <w:color w:val="auto"/>
        </w:rPr>
        <w:t>Defaulting Purchasers</w:t>
      </w:r>
      <w:r>
        <w:rPr>
          <w:rFonts w:ascii="Times New Roman" w:cs="Times New Roman" w:eastAsia="Times New Roman" w:hAnsi="Times New Roman"/>
          <w:sz w:val="18"/>
          <w:szCs w:val="18"/>
          <w:color w:val="auto"/>
        </w:rPr>
        <w:t>. Notwithstanding any provision of this Agreement to the contrary, if any Committed Purchaser becomes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Purchaser, then the following provisions shall apply for so long as such Committed Purchaser is a Defaulting Purchaser:</w:t>
      </w:r>
    </w:p>
    <w:p>
      <w:pPr>
        <w:spacing w:after="0" w:line="207" w:lineRule="exact"/>
        <w:rPr>
          <w:sz w:val="20"/>
          <w:szCs w:val="20"/>
          <w:color w:val="auto"/>
        </w:rPr>
      </w:pPr>
    </w:p>
    <w:p>
      <w:pPr>
        <w:jc w:val="both"/>
        <w:ind w:left="660" w:firstLine="645"/>
        <w:spacing w:after="0" w:line="261" w:lineRule="auto"/>
        <w:tabs>
          <w:tab w:leader="none" w:pos="174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Commitment of such Defaulting Purchaser shall not be included in determining whether the Required Purchasers have taken or may take any action hereunder (including any consent to any amendment or waiver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other modification requiring the consent of (i) all Committed Purchasers or (ii) each affected Purchaser and, in either case, which affects such Defaulting Purchaser differently than other affected Purchasers, shall still require the consent of such Defaulting Purchaser.</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69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Cash Collateralization; etc</w:t>
      </w:r>
      <w:r>
        <w:rPr>
          <w:rFonts w:ascii="Times New Roman" w:cs="Times New Roman" w:eastAsia="Times New Roman" w:hAnsi="Times New Roman"/>
          <w:sz w:val="18"/>
          <w:szCs w:val="18"/>
          <w:color w:val="auto"/>
        </w:rPr>
        <w:t>. If any LOC Participation Obligations exist with respect to a Committed Purchaser at the time such Committed Purchaser becomes a Defaulting Purchaser then:</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53" w:lineRule="auto"/>
        <w:tabs>
          <w:tab w:leader="none" w:pos="234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and any other provision hereof, all or any part of such LOC Participation Obligations shall, subject to any available Commitment of each non-Defaulting Purchaser be reallocated among all of the non-Defaulting Purchasers in the affected LOC Group in accordance with their respective Ratable Shares (without giving effect to any Defaulting Purchaser’s Commitment in the denominator of such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Defaulting Purchaser has a Defaulted Amount due to its failure to pay its Ratable Share of any funding under a related Letter of Credit to the applicable LOC Issuer in accordance with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each of the non-Defaulting Purchasers in the affected LOC Group shall pay its Ratable Share of such Defaulted Amount to such LOC Issuer in accordance with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but only, in each case, to the extent (I) the sum of any non-Defaulting Purchaser’s Investment after giving effect thereto does not exceed its total Commitment and (II)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satisfied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(x) the reallocation of a Defaulting Purchaser’s funding obligations described above, (y) the performance by non-Defaulting Purchasers of such reallocated funding obligations, or (z) the cash collateralization detailed in </w:t>
      </w:r>
      <w:r>
        <w:rPr>
          <w:rFonts w:ascii="Times New Roman" w:cs="Times New Roman" w:eastAsia="Times New Roman" w:hAnsi="Times New Roman"/>
          <w:sz w:val="18"/>
          <w:szCs w:val="18"/>
          <w:u w:val="single" w:color="auto"/>
          <w:color w:val="auto"/>
        </w:rPr>
        <w:t>subsections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below will by themselves cause the relevant Defaulting Purchaser to become a non-Defaulting Purchaser;</w:t>
      </w:r>
    </w:p>
    <w:p>
      <w:pPr>
        <w:spacing w:after="0" w:line="200" w:lineRule="exact"/>
        <w:rPr>
          <w:sz w:val="20"/>
          <w:szCs w:val="20"/>
          <w:color w:val="auto"/>
        </w:rPr>
      </w:pPr>
    </w:p>
    <w:p>
      <w:pPr>
        <w:spacing w:after="0" w:line="381"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34" w:name="page435"/>
    <w:bookmarkEnd w:id="434"/>
    <w:p>
      <w:pPr>
        <w:jc w:val="both"/>
        <w:ind w:left="100" w:firstLine="653"/>
        <w:spacing w:after="0" w:line="256" w:lineRule="auto"/>
        <w:tabs>
          <w:tab w:leader="none" w:pos="11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above cannot, or can only partially, be effected, the Seller or the Servicer on its behalf shall, following notice by the Agent, the affected LOC Issuer or the related Purchaser Agent, either (A) cause such Defaulting Purchaser to be an Amortizing Purchaser (and any related LOC Participation Obligations to be cash-collateralized and any amounts paid by any LOC Issuer of any LOC Group of which such Defaulting Purchaser is (or was) a member on its behalf (e.g. the fronted amounts) to be repaid) in accordance with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or (B) reduce the related LOC Participation Obligations by an amount equal to the unreallocated, non-cash collateralized portion thereof as to which such Defaulting Purchaser is otherwise liable;</w:t>
      </w:r>
    </w:p>
    <w:p>
      <w:pPr>
        <w:spacing w:after="0" w:line="187"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278"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Seller cash collateralizes (or causes the cash collateralization of) any portion of such Defaulting Purchaser’s LOC Participation Obligations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the Seller shall not be required to pay any Commitment Fee to such Defaulting Purchaser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the terms of any other Transaction Document, as the case may be, with respect to such Defaulting Purchaser’s LOC Participation Obligations during the period such Defaulting Purchaser’s LOC Participation Obligations are cash collateralized in accordance with </w:t>
      </w:r>
      <w:r>
        <w:rPr>
          <w:rFonts w:ascii="Times New Roman" w:cs="Times New Roman" w:eastAsia="Times New Roman" w:hAnsi="Times New Roman"/>
          <w:sz w:val="18"/>
          <w:szCs w:val="18"/>
          <w:u w:val="single" w:color="auto"/>
          <w:color w:val="auto"/>
        </w:rPr>
        <w:t>clause (b)(ii)(A)</w:t>
      </w:r>
      <w:r>
        <w:rPr>
          <w:rFonts w:ascii="Times New Roman" w:cs="Times New Roman" w:eastAsia="Times New Roman" w:hAnsi="Times New Roman"/>
          <w:sz w:val="18"/>
          <w:szCs w:val="18"/>
          <w:color w:val="auto"/>
        </w:rPr>
        <w:t xml:space="preserve"> above;</w:t>
      </w:r>
    </w:p>
    <w:p>
      <w:pPr>
        <w:spacing w:after="0" w:line="183"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21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LOC Participation Obligations of the non-Defaulting Purchasers are reallocated pursuant to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xml:space="preserve">, then the Commitment Fees and Undrawn Letter of Credit Fees, if any, payable to the Purchasers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the terms of any other Transaction Document, as the case may be, shall be adjusted in accordance with such non-Defaulting Purchasers’ Ratable Share of the aggregate Commitments of such non-Defaulting Purchasers; and</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55" w:lineRule="auto"/>
        <w:tabs>
          <w:tab w:leader="none" w:pos="1198"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Defaulting Purchaser’s LOC Participation Obligations are not cash collateralized, prepaid or reallocated pursuant to this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then, without prejudice to any rights or remedies of the applicable LOC Issuer or any Purchaser hereunder, all Commitment Fees that otherwise would have been payable to such Defaulting Purchaser (solely with respect to the portion of such Defaulting Purchaser’s Commitment that was affected by such LOC Participation Obligations) and Undrawn Letter of Credit Fees payable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the terms of any other Transaction Document with respect to such Defaulting Purchaser’s LOC Participation Obligations shall be payable to the applicable LOC Issuer until such Defaulting Purchaser’s LOC Participation Obligations are cash collateralized, prepaid or reallocated as described above.</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542"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Issuances</w:t>
      </w:r>
      <w:r>
        <w:rPr>
          <w:rFonts w:ascii="Times New Roman" w:cs="Times New Roman" w:eastAsia="Times New Roman" w:hAnsi="Times New Roman"/>
          <w:sz w:val="18"/>
          <w:szCs w:val="18"/>
          <w:color w:val="auto"/>
        </w:rPr>
        <w:t>. So long as any Committed Purchaser is a Defaulting Purchaser, (i) no LOC Issuer for a LOC Group of which such Defaulting Purchaser is a member shall be required to issue, extend, create, incur, amend or increase the Stated Amount of any Letter of Credit unless (A) the LOC Exposure related to each such Letter of Credit is 100% covered by the Commitments of the non-Defaulting Purchasers which are members of such LOC Group at the time of such issuance or (B)</w:t>
      </w:r>
    </w:p>
    <w:p>
      <w:pPr>
        <w:spacing w:after="0" w:line="200" w:lineRule="exact"/>
        <w:rPr>
          <w:sz w:val="20"/>
          <w:szCs w:val="20"/>
          <w:color w:val="auto"/>
        </w:rPr>
      </w:pPr>
    </w:p>
    <w:p>
      <w:pPr>
        <w:spacing w:after="0" w:line="368"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35" w:name="page436"/>
    <w:bookmarkEnd w:id="435"/>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such LOC Issuer is satisfied in its sole discretion that cash collateral will be provided in accordance with </w:t>
      </w:r>
      <w:r>
        <w:rPr>
          <w:rFonts w:ascii="Times New Roman" w:cs="Times New Roman" w:eastAsia="Times New Roman" w:hAnsi="Times New Roman"/>
          <w:sz w:val="18"/>
          <w:szCs w:val="18"/>
          <w:u w:val="single" w:color="auto"/>
          <w:color w:val="auto"/>
        </w:rPr>
        <w:t>Section 2.6(b)(ii)(A)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and (ii) participating interests in any such newly issued, extended or created Letter of Credit shall be allocated among the non-Defaulting Purchasers which are members of such LOC Group in a manner consistent with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xml:space="preserve"> (and Defaulting Purchasers shall not participate therein).</w:t>
      </w:r>
    </w:p>
    <w:p>
      <w:pPr>
        <w:spacing w:after="0" w:line="176" w:lineRule="exact"/>
        <w:rPr>
          <w:sz w:val="20"/>
          <w:szCs w:val="20"/>
          <w:color w:val="auto"/>
        </w:rPr>
      </w:pPr>
    </w:p>
    <w:p>
      <w:pPr>
        <w:jc w:val="both"/>
        <w:ind w:firstLine="645"/>
        <w:spacing w:after="0" w:line="252" w:lineRule="auto"/>
        <w:tabs>
          <w:tab w:leader="none" w:pos="118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Defaulting Purchaser</w:t>
      </w:r>
      <w:r>
        <w:rPr>
          <w:rFonts w:ascii="Times New Roman" w:cs="Times New Roman" w:eastAsia="Times New Roman" w:hAnsi="Times New Roman"/>
          <w:sz w:val="18"/>
          <w:szCs w:val="18"/>
          <w:color w:val="auto"/>
        </w:rPr>
        <w:t xml:space="preserve">. Any amount payable to a Defaulting Purchaser hereunder or under any other Transaction Document (whether on account of principal, interest, fees or otherwise), other than as described in </w:t>
      </w:r>
      <w:r>
        <w:rPr>
          <w:rFonts w:ascii="Times New Roman" w:cs="Times New Roman" w:eastAsia="Times New Roman" w:hAnsi="Times New Roman"/>
          <w:sz w:val="18"/>
          <w:szCs w:val="18"/>
          <w:u w:val="single" w:color="auto"/>
          <w:color w:val="auto"/>
        </w:rPr>
        <w:t>Section 1.3(c)(iv)</w:t>
      </w:r>
      <w:r>
        <w:rPr>
          <w:rFonts w:ascii="Times New Roman" w:cs="Times New Roman" w:eastAsia="Times New Roman" w:hAnsi="Times New Roman"/>
          <w:sz w:val="18"/>
          <w:szCs w:val="18"/>
          <w:color w:val="auto"/>
        </w:rPr>
        <w:t xml:space="preserve">, shall, in lieu of being distributed to such Defaulting Purchaser, be retained by the Purchaser Agents for the affected LOC Issuer pro rata in accordance with the Defaulted Amounts owed to the related Group in a segregated account and, subject to any applicable requirements of law, be applied at such time or times as may be determined by each such applicable Purchaser Agent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pro rata, to the payment of any amounts owing by such Defaulting Purchaser to the Agents hereunder,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pro rata, to the repayment of any amounts owing by such Defaulting Purchaser to the LOC Issuer for any LOC Group of which such Defaulting Purchaser is (or was) a member (e.g. the fronted amounts) or to make a deposit into the applicable Cash Collateral Account with respect to such Defaulting Purchaser, as applicable,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applicable Purchaser Agent or requested by the related LOC Issuer, to be held in such account as cash collateral for future funding obligations of the Defaulting Purchaser of any participating interest in any Letter of Credit to be issued by such LOC Issuer, (iv)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funding of any Purchase in respect of which such Defaulting Purchaser has failed to fund its portion thereof as required by this Agreement, (v)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Agent, the affected Purchaser Agents, the Seller or the Servicer, held in such account as cash collateral for future obligations of the Defaulting Purchaser to make any Purchase under this Agreement, (vi)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pro rata, to the payment of any amounts owing to the Purchasers or the LOC Issuer, as applicable, as a result of any judgment of a court of competent jurisdiction obtained by any Purchaser or any LOC Issuer against such Defaulting Purchaser as a result of such Defaulting Purchaser’s breach of its obligations under this Agreement, (vii)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pro rata, to the payment of any amounts owing to the Seller as a result of any judgment of a court of competent jurisdiction obtained by the Seller against such Defaulting Purchaser as a result of such Defaulting Purchaser’s breach of its obligations under this Agreement, and (viii)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Purchaser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a prepayment of the principal amount of any Purchases or the payment of any Reimbursement Obligations for which a Defaulting Purchaser has funded its participation under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and (B) made at a time when the conditions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satisfied, such payment shall be applied solely to prepay the Purchases of, and reimbursement obligations owed to, all non-Defaulting Purchasers pro rata prior to being applied to the prepayment of any Purchases, or reimbursement obligations owed to, any Defaulting Purchaser.</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SETTLEMENTS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36" w:name="page437"/>
    <w:bookmarkEnd w:id="436"/>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8"/>
          <w:szCs w:val="18"/>
          <w:u w:val="single" w:color="auto"/>
          <w:color w:val="auto"/>
        </w:rPr>
        <w:t>Settlement Procedures</w:t>
      </w:r>
      <w:r>
        <w:rPr>
          <w:rFonts w:ascii="Times New Roman" w:cs="Times New Roman" w:eastAsia="Times New Roman" w:hAnsi="Times New Roman"/>
          <w:sz w:val="18"/>
          <w:szCs w:val="18"/>
          <w:color w:val="auto"/>
        </w:rPr>
        <w:t>. The parties hereto will take the following actions with respect to each Settlement Period:</w:t>
      </w:r>
    </w:p>
    <w:p>
      <w:pPr>
        <w:spacing w:after="0" w:line="229" w:lineRule="exact"/>
        <w:rPr>
          <w:sz w:val="20"/>
          <w:szCs w:val="20"/>
          <w:color w:val="auto"/>
        </w:rPr>
      </w:pPr>
    </w:p>
    <w:p>
      <w:pPr>
        <w:jc w:val="both"/>
        <w:ind w:firstLine="645"/>
        <w:spacing w:after="0" w:line="245" w:lineRule="auto"/>
        <w:tabs>
          <w:tab w:leader="none" w:pos="102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Package</w:t>
      </w:r>
      <w:r>
        <w:rPr>
          <w:rFonts w:ascii="Times New Roman" w:cs="Times New Roman" w:eastAsia="Times New Roman" w:hAnsi="Times New Roman"/>
          <w:sz w:val="18"/>
          <w:szCs w:val="18"/>
          <w:color w:val="auto"/>
        </w:rPr>
        <w:t>.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Business Day prior to the Settlement Date or, on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Business Day of each week following a downgrade of the Performance Guarantor (or New Mylan, if Performance Guarantor shall cease to have a rating by S&amp;P or Moody’s and New Mylan shall have a rating by S&amp;P or Moody’s) to a rating below BB- (or it equivalent) or a withdrawal of its rating by each of S&amp;P and Moody’s following the Cut-Off Date for such Settlement Period, or for the preceding calendar week, as applicable (each a “</w:t>
      </w:r>
      <w:r>
        <w:rPr>
          <w:rFonts w:ascii="Times New Roman" w:cs="Times New Roman" w:eastAsia="Times New Roman" w:hAnsi="Times New Roman"/>
          <w:sz w:val="18"/>
          <w:szCs w:val="18"/>
          <w:u w:val="single" w:color="auto"/>
          <w:color w:val="auto"/>
        </w:rPr>
        <w:t>Reporting Date</w:t>
      </w:r>
      <w:r>
        <w:rPr>
          <w:rFonts w:ascii="Times New Roman" w:cs="Times New Roman" w:eastAsia="Times New Roman" w:hAnsi="Times New Roman"/>
          <w:sz w:val="18"/>
          <w:szCs w:val="18"/>
          <w:color w:val="auto"/>
        </w:rPr>
        <w:t xml:space="preserve">” for and related to the Settlement Period or calendar week, as applicable, ending immediately prior to such date), a Primary Officer of Servicer shall deliver to Agent and Agent shall promptly deliver to each Purchaser Agent an e-mail attaching an Excel file and a file in .pdf or similar format signed by Servicer containing the information described in </w:t>
      </w:r>
      <w:r>
        <w:rPr>
          <w:rFonts w:ascii="Times New Roman" w:cs="Times New Roman" w:eastAsia="Times New Roman" w:hAnsi="Times New Roman"/>
          <w:sz w:val="18"/>
          <w:szCs w:val="18"/>
          <w:u w:val="single" w:color="auto"/>
          <w:color w:val="auto"/>
        </w:rPr>
        <w:t>Exhibit 3.1(a)</w:t>
      </w:r>
      <w:r>
        <w:rPr>
          <w:rFonts w:ascii="Times New Roman" w:cs="Times New Roman" w:eastAsia="Times New Roman" w:hAnsi="Times New Roman"/>
          <w:sz w:val="18"/>
          <w:szCs w:val="18"/>
          <w:color w:val="auto"/>
        </w:rPr>
        <w:t xml:space="preserve">, including the information calculated by Servicer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Information Package</w:t>
      </w:r>
      <w:r>
        <w:rPr>
          <w:rFonts w:ascii="Times New Roman" w:cs="Times New Roman" w:eastAsia="Times New Roman" w:hAnsi="Times New Roman"/>
          <w:sz w:val="18"/>
          <w:szCs w:val="18"/>
          <w:color w:val="auto"/>
        </w:rPr>
        <w:t xml:space="preserve">”) for the related Settlement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with the consent of the Required Purchaser Agents may, or upon their reasonable request, shall request Servicer to modify in a commercially reasonable manner the information required to be provided by Servicer in, or the form of, the Information Package upon notice to the 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modification must be commercially reasonably;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during the Liquidation Period or after the occurrence of any Event of Default that has not been waived in accordance with the terms of this Agreement, Agent with the consent of the Required Purchaser Agents may, or at their direction, shall request, Servicer to, and Servicer agrees to, deliver information similar to the Information Package and any other information related to the Asset Interest, the Receivables or the transactions contemplated hereby as Agent or any Purchaser Agent shall request (including a calculation of Required Reserves and each component thereof) on each Business Day.</w:t>
      </w:r>
    </w:p>
    <w:p>
      <w:pPr>
        <w:spacing w:after="0" w:line="205" w:lineRule="exact"/>
        <w:rPr>
          <w:rFonts w:ascii="Times New Roman" w:cs="Times New Roman" w:eastAsia="Times New Roman" w:hAnsi="Times New Roman"/>
          <w:sz w:val="18"/>
          <w:szCs w:val="18"/>
          <w:color w:val="auto"/>
        </w:rPr>
      </w:pPr>
    </w:p>
    <w:p>
      <w:pPr>
        <w:jc w:val="both"/>
        <w:ind w:firstLine="645"/>
        <w:spacing w:after="0" w:line="256" w:lineRule="auto"/>
        <w:tabs>
          <w:tab w:leader="none" w:pos="1119"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Yield; Other Amounts Due</w:t>
      </w:r>
      <w:r>
        <w:rPr>
          <w:rFonts w:ascii="Times New Roman" w:cs="Times New Roman" w:eastAsia="Times New Roman" w:hAnsi="Times New Roman"/>
          <w:sz w:val="18"/>
          <w:szCs w:val="18"/>
          <w:color w:val="auto"/>
        </w:rPr>
        <w:t xml:space="preserve">. On or before the second Business Day prior to the Reporting Date for each Settlement Period, each Purchaser Agent shall notify Servicer of (i) the amount of Yield accrued in respect of each applicable Rate Tranche during such Settlement Period, and (ii) all fees (including any Fronting Fees) and other amounts accrued and payable or to be paid by Seller under this Agreement and the other Transaction Documents, on the related Settlement Date (other than amounts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Seller, on the Settlement Date for such Settlement Period, or when otherwise required hereunder prior to each such date, shall pay such Yield and all fees and other amounts due in respect of such Settlement Period to the applicable Purchaser Agent.</w:t>
      </w:r>
    </w:p>
    <w:p>
      <w:pPr>
        <w:spacing w:after="0" w:line="187" w:lineRule="exact"/>
        <w:rPr>
          <w:rFonts w:ascii="Times New Roman" w:cs="Times New Roman" w:eastAsia="Times New Roman" w:hAnsi="Times New Roman"/>
          <w:sz w:val="18"/>
          <w:szCs w:val="18"/>
          <w:color w:val="auto"/>
        </w:rPr>
      </w:pPr>
    </w:p>
    <w:p>
      <w:pPr>
        <w:ind w:left="1020" w:hanging="375"/>
        <w:spacing w:after="0"/>
        <w:tabs>
          <w:tab w:leader="none" w:pos="10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Computations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645"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each Reporting Date, Servicer shall compute, as of the most recent Cut-Off Date and based upon the assumption in the next sentence, (A) the Asset Interest, the Purchasers’ Total Investment, the Total Investment of each Group, the Required Reserves and the Net Pool Balance and each component of the foregoing, (B) the amount of the reduction or increase (if any) in each of the</w:t>
      </w:r>
    </w:p>
    <w:p>
      <w:pPr>
        <w:spacing w:after="0" w:line="200" w:lineRule="exact"/>
        <w:rPr>
          <w:sz w:val="20"/>
          <w:szCs w:val="20"/>
          <w:color w:val="auto"/>
        </w:rPr>
      </w:pPr>
    </w:p>
    <w:p>
      <w:pPr>
        <w:spacing w:after="0" w:line="36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0" w:right="239" w:bottom="1440" w:gutter="0" w:footer="0" w:header="0"/>
        </w:sectPr>
      </w:pPr>
    </w:p>
    <w:bookmarkStart w:id="437" w:name="page438"/>
    <w:bookmarkEnd w:id="437"/>
    <w:p>
      <w:pPr>
        <w:jc w:val="both"/>
        <w:ind w:left="100"/>
        <w:spacing w:after="0" w:line="256" w:lineRule="auto"/>
        <w:rPr>
          <w:sz w:val="20"/>
          <w:szCs w:val="20"/>
          <w:color w:val="auto"/>
        </w:rPr>
      </w:pPr>
      <w:r>
        <w:rPr>
          <w:rFonts w:ascii="Times New Roman" w:cs="Times New Roman" w:eastAsia="Times New Roman" w:hAnsi="Times New Roman"/>
          <w:sz w:val="18"/>
          <w:szCs w:val="18"/>
          <w:color w:val="auto"/>
        </w:rPr>
        <w:t xml:space="preserve">Asset Interest, Required Reserves, the Net Pool Balance, the Total Investment of each Group and the Purchasers’ Total Investment since the immediately preceding Cut-Off Date, (C) the excess (if any) of the Asset Interest (expressed as a percentage of Net Pool Balance),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100%, (D) the excess (if any) of the Purchasers’ Total Investment,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the Purchasers’ Total Commitment, (E) the excess (if any) of any Purchaser’s Investment,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its Commitment and (F) the amount payable to any Amortizing Purchaser. Such calculations shall be based upon the assumption that Collections set aside pursuant to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will be paid to the applicable Purchaser Agent on the Settlement Date for the Settlement Period related to such Reporting Date.</w:t>
      </w:r>
    </w:p>
    <w:p>
      <w:pPr>
        <w:spacing w:after="0" w:line="188" w:lineRule="exact"/>
        <w:rPr>
          <w:sz w:val="20"/>
          <w:szCs w:val="20"/>
          <w:color w:val="auto"/>
        </w:rPr>
      </w:pPr>
    </w:p>
    <w:p>
      <w:pPr>
        <w:jc w:val="both"/>
        <w:ind w:left="100" w:firstLine="653"/>
        <w:spacing w:after="0" w:line="252" w:lineRule="auto"/>
        <w:tabs>
          <w:tab w:leader="none" w:pos="1171"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according to the computations made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the sum of Purchasers’ Total Investment and the Required Reserves at such time shall exceed the Net Pool Balance at such time, or the Purchasers’ Total Investment or any Purchaser’s Investment shall exceed the Purchasers’ Total Commitment or the Commitment of its related Committed Purchaser, respectively, Servicer shall promptly notify Agent and each Purchaser Agent, and on the Settlement Date for such Settlement Period (or during the Liquidation Period or after the occurrence of any Event of Default that has not been waived in accordance with the terms of this Agreement or while any Unmatured Event of Default is continuing, within one (1) Business Day), Servicer shall pay to the applicable Purchaser Agent for the benefit of the applicable Purchasers (to the extent of Collections received during the related Settlement Period attributable to all Rate Tranches and not previously paid to such Purchaser Agent) the amount necessary to reduce (unless the Seller has irrevocably reduced the Stated Amount of the applicable Letters of Credit so that none of the circumstances described above are continuing)</w:t>
      </w:r>
    </w:p>
    <w:p>
      <w:pPr>
        <w:spacing w:after="0" w:line="7" w:lineRule="exact"/>
        <w:rPr>
          <w:rFonts w:ascii="Times New Roman" w:cs="Times New Roman" w:eastAsia="Times New Roman" w:hAnsi="Times New Roman"/>
          <w:sz w:val="18"/>
          <w:szCs w:val="18"/>
          <w:color w:val="auto"/>
        </w:rPr>
      </w:pPr>
    </w:p>
    <w:p>
      <w:pPr>
        <w:jc w:val="both"/>
        <w:ind w:left="100" w:firstLine="5"/>
        <w:spacing w:after="0" w:line="255" w:lineRule="auto"/>
        <w:tabs>
          <w:tab w:leader="none" w:pos="403"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Total Investment to the Purchasers’ Total Commitment, (B) the sum of Purchasers’ Total Investment and the Required Reserves at such time to no more than the Net Pool Balance at such time, and (C) any affected Purchaser’s Investment to no more than the Commitment of its related Committed Purchaser, subject, however, to the </w:t>
      </w:r>
      <w:r>
        <w:rPr>
          <w:rFonts w:ascii="Times New Roman" w:cs="Times New Roman" w:eastAsia="Times New Roman" w:hAnsi="Times New Roman"/>
          <w:sz w:val="18"/>
          <w:szCs w:val="18"/>
          <w:u w:val="single" w:color="auto"/>
          <w:color w:val="auto"/>
        </w:rPr>
        <w:t>proviso</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1.3(c)(iii)</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100" w:firstLine="653"/>
        <w:spacing w:after="0" w:line="255" w:lineRule="auto"/>
        <w:tabs>
          <w:tab w:leader="none" w:pos="1202"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payment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shall be made out of amounts set aside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for such purpose and, to the extent such amounts were not so set aside, Seller hereby agrees to pay such amounts (notwithstanding any limitation on recourse or other liability limitation contained herein to pay such amounts) to Servicer to the extent of Collections applied to Reinvestment under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during the relevant Settlement Period. Notwithstanding anything to the contrary set forth above, on any date on or prior to the Final Payout Date, if the sum of the Purchasers’ Total Investment and the Required Reserves at such time exceeds the Net Pool Balance at such time, </w:t>
      </w:r>
      <w:r>
        <w:rPr>
          <w:rFonts w:ascii="Times New Roman" w:cs="Times New Roman" w:eastAsia="Times New Roman" w:hAnsi="Times New Roman"/>
          <w:sz w:val="18"/>
          <w:szCs w:val="18"/>
          <w:color w:val="0D0D0D"/>
        </w:rPr>
        <w:t>Servicer</w:t>
      </w:r>
      <w:r>
        <w:rPr>
          <w:rFonts w:ascii="Times New Roman" w:cs="Times New Roman" w:eastAsia="Times New Roman" w:hAnsi="Times New Roman"/>
          <w:sz w:val="18"/>
          <w:szCs w:val="18"/>
          <w:color w:val="auto"/>
        </w:rPr>
        <w:t xml:space="preserve"> shall immediately pay to the applicable Purchaser Agent from amounts held in trust, or that should have been so held, pursuant to </w:t>
      </w:r>
      <w:r>
        <w:rPr>
          <w:rFonts w:ascii="Times New Roman" w:cs="Times New Roman" w:eastAsia="Times New Roman" w:hAnsi="Times New Roman"/>
          <w:sz w:val="18"/>
          <w:szCs w:val="18"/>
          <w:u w:val="single" w:color="auto"/>
          <w:color w:val="auto"/>
        </w:rPr>
        <w:t>Section 1.3(a)(ii)</w:t>
      </w:r>
      <w:r>
        <w:rPr>
          <w:rFonts w:ascii="Times New Roman" w:cs="Times New Roman" w:eastAsia="Times New Roman" w:hAnsi="Times New Roman"/>
          <w:sz w:val="18"/>
          <w:szCs w:val="18"/>
          <w:color w:val="auto"/>
        </w:rPr>
        <w:t>, an amount equal to such excess.</w:t>
      </w:r>
    </w:p>
    <w:p>
      <w:pPr>
        <w:spacing w:after="0" w:line="200" w:lineRule="exact"/>
        <w:rPr>
          <w:sz w:val="20"/>
          <w:szCs w:val="20"/>
          <w:color w:val="auto"/>
        </w:rPr>
      </w:pPr>
    </w:p>
    <w:p>
      <w:pPr>
        <w:spacing w:after="0" w:line="378"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38" w:name="page439"/>
    <w:bookmarkEnd w:id="438"/>
    <w:p>
      <w:pPr>
        <w:jc w:val="both"/>
        <w:ind w:left="100" w:firstLine="653"/>
        <w:spacing w:after="0" w:line="256" w:lineRule="auto"/>
        <w:tabs>
          <w:tab w:leader="none" w:pos="1198"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payments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during the Liquidation Period, after the occurrence of any Event of Default that has not been waived in accordance with the terms of this Agreement or while any Unmatured Event of Default is continuing, Servicer shall pay to the applicable Purchaser Agent or the applicable LOC Issuer, as applicable, all other Collections on all Receivables, whether or not required to be set aside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on the Settlement Date for each Settlement Period, for application by the related Purchaser Agent in an amount not exceeding all amounts payable hereunder or under the other Transaction Documents to the Purchasers, the LOC Issuer, the Purchaser Agents, Agent, the Affected Parties and the Indemnified Parties.</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51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 of Application</w:t>
      </w:r>
      <w:r>
        <w:rPr>
          <w:rFonts w:ascii="Times New Roman" w:cs="Times New Roman" w:eastAsia="Times New Roman" w:hAnsi="Times New Roman"/>
          <w:sz w:val="18"/>
          <w:szCs w:val="18"/>
          <w:color w:val="auto"/>
        </w:rPr>
        <w:t xml:space="preserve">. Upon receipt by Agent or each Purchaser Agent, as applicable, of funds distributed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respect to any Settlement Period, Agent or such Purchaser Agent, as applicable, shall apply them to the items specified in the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 xml:space="preserve"> below, in the order of priority of such </w:t>
      </w:r>
      <w:r>
        <w:rPr>
          <w:rFonts w:ascii="Times New Roman" w:cs="Times New Roman" w:eastAsia="Times New Roman" w:hAnsi="Times New Roman"/>
          <w:sz w:val="18"/>
          <w:szCs w:val="18"/>
          <w:u w:val="single" w:color="auto"/>
          <w:color w:val="auto"/>
        </w:rPr>
        <w:t>subclauses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00" w:firstLine="653"/>
        <w:spacing w:after="0" w:line="282" w:lineRule="auto"/>
        <w:tabs>
          <w:tab w:leader="none" w:pos="1115"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Yield together with any Used Margin accrued and unpaid on all Rate Tranches howsoever funded or maintained during the related Settlement Period;</w:t>
      </w:r>
    </w:p>
    <w:p>
      <w:pPr>
        <w:spacing w:after="0" w:line="161" w:lineRule="exact"/>
        <w:rPr>
          <w:rFonts w:ascii="Times New Roman" w:cs="Times New Roman" w:eastAsia="Times New Roman" w:hAnsi="Times New Roman"/>
          <w:sz w:val="18"/>
          <w:szCs w:val="18"/>
          <w:color w:val="auto"/>
        </w:rPr>
      </w:pPr>
    </w:p>
    <w:p>
      <w:pPr>
        <w:ind w:left="1160" w:hanging="407"/>
        <w:spacing w:after="0"/>
        <w:tabs>
          <w:tab w:leader="none" w:pos="11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Undrawn Letter of Credit Fee for its Group;</w:t>
      </w:r>
    </w:p>
    <w:p>
      <w:pPr>
        <w:spacing w:after="0" w:line="225" w:lineRule="exact"/>
        <w:rPr>
          <w:rFonts w:ascii="Times New Roman" w:cs="Times New Roman" w:eastAsia="Times New Roman" w:hAnsi="Times New Roman"/>
          <w:sz w:val="18"/>
          <w:szCs w:val="18"/>
          <w:color w:val="auto"/>
        </w:rPr>
      </w:pPr>
    </w:p>
    <w:p>
      <w:pPr>
        <w:ind w:left="1200" w:hanging="447"/>
        <w:spacing w:after="0"/>
        <w:tabs>
          <w:tab w:leader="none" w:pos="12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Commitment Fee;</w:t>
      </w:r>
    </w:p>
    <w:p>
      <w:pPr>
        <w:spacing w:after="0" w:line="225" w:lineRule="exact"/>
        <w:rPr>
          <w:rFonts w:ascii="Times New Roman" w:cs="Times New Roman" w:eastAsia="Times New Roman" w:hAnsi="Times New Roman"/>
          <w:sz w:val="18"/>
          <w:szCs w:val="18"/>
          <w:color w:val="auto"/>
        </w:rPr>
      </w:pPr>
    </w:p>
    <w:p>
      <w:pPr>
        <w:ind w:left="1200" w:hanging="447"/>
        <w:spacing w:after="0"/>
        <w:tabs>
          <w:tab w:leader="none" w:pos="12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Fronting Fee for each related Fronting LOC Issuer, if any;</w:t>
      </w:r>
    </w:p>
    <w:p>
      <w:pPr>
        <w:spacing w:after="0" w:line="225" w:lineRule="exact"/>
        <w:rPr>
          <w:rFonts w:ascii="Times New Roman" w:cs="Times New Roman" w:eastAsia="Times New Roman" w:hAnsi="Times New Roman"/>
          <w:sz w:val="18"/>
          <w:szCs w:val="18"/>
          <w:color w:val="auto"/>
        </w:rPr>
      </w:pPr>
    </w:p>
    <w:p>
      <w:pPr>
        <w:ind w:left="1140" w:hanging="387"/>
        <w:spacing w:after="0"/>
        <w:tabs>
          <w:tab w:leader="none" w:pos="114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accrued and unpaid Servicing Fee (if the Servicer is not MPI or an Affiliate thereof);</w:t>
      </w:r>
    </w:p>
    <w:p>
      <w:pPr>
        <w:spacing w:after="0" w:line="225" w:lineRule="exact"/>
        <w:rPr>
          <w:rFonts w:ascii="Times New Roman" w:cs="Times New Roman" w:eastAsia="Times New Roman" w:hAnsi="Times New Roman"/>
          <w:sz w:val="18"/>
          <w:szCs w:val="18"/>
          <w:color w:val="auto"/>
        </w:rPr>
      </w:pPr>
    </w:p>
    <w:p>
      <w:pPr>
        <w:ind w:left="100" w:firstLine="653"/>
        <w:spacing w:after="0" w:line="282" w:lineRule="auto"/>
        <w:tabs>
          <w:tab w:leader="none" w:pos="1291"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ratably, to accrued and unpaid amounts owed to each Purchaser Agent hereunder (including all fees payable to Agent, Purchaser Agents, and Purchasers pursuant to the Fee Letter other than fees paid pursuant to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above);</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292"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ratably, to the reduction of Purchasers’ Total Investment, to the extent such reduction is required under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or, during the Liquidation Period to be applied first, to cash collateralize the Stated Amount of all outstanding Letters of Credit ratably among each Purchaser Group by depositing such amounts to the applicable Cash Collateral Account and second, to ratably reduce the remainder of the Purchasers’ Total Investment as determined by the applicable Purchaser Agent;</w:t>
      </w:r>
    </w:p>
    <w:p>
      <w:pPr>
        <w:spacing w:after="0" w:line="180" w:lineRule="exact"/>
        <w:rPr>
          <w:rFonts w:ascii="Times New Roman" w:cs="Times New Roman" w:eastAsia="Times New Roman" w:hAnsi="Times New Roman"/>
          <w:sz w:val="18"/>
          <w:szCs w:val="18"/>
          <w:color w:val="auto"/>
        </w:rPr>
      </w:pPr>
    </w:p>
    <w:p>
      <w:pPr>
        <w:ind w:left="1300" w:hanging="547"/>
        <w:spacing w:after="0"/>
        <w:tabs>
          <w:tab w:leader="none" w:pos="1300" w:val="left"/>
        </w:tabs>
        <w:numPr>
          <w:ilvl w:val="1"/>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other accrued and unpaid amounts owing to any Purchaser, LOC Issuer, Agent or any other Secured Party hereunder; and</w:t>
      </w:r>
    </w:p>
    <w:p>
      <w:pPr>
        <w:spacing w:after="0" w:line="236" w:lineRule="exact"/>
        <w:rPr>
          <w:rFonts w:ascii="Times New Roman" w:cs="Times New Roman" w:eastAsia="Times New Roman" w:hAnsi="Times New Roman"/>
          <w:sz w:val="17"/>
          <w:szCs w:val="17"/>
          <w:color w:val="auto"/>
        </w:rPr>
      </w:pPr>
    </w:p>
    <w:p>
      <w:pPr>
        <w:ind w:left="1200" w:hanging="447"/>
        <w:spacing w:after="0"/>
        <w:tabs>
          <w:tab w:leader="none" w:pos="120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accrued and unpaid Servicing Fee (if the Servicer is MPI or an Affiliate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39" w:name="page440"/>
    <w:bookmarkEnd w:id="439"/>
    <w:p>
      <w:pPr>
        <w:jc w:val="both"/>
        <w:ind w:firstLine="645"/>
        <w:spacing w:after="0" w:line="256" w:lineRule="auto"/>
        <w:tabs>
          <w:tab w:leader="none" w:pos="105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Non-Distribution of Servicing Fee</w:t>
      </w:r>
      <w:r>
        <w:rPr>
          <w:rFonts w:ascii="Times New Roman" w:cs="Times New Roman" w:eastAsia="Times New Roman" w:hAnsi="Times New Roman"/>
          <w:sz w:val="18"/>
          <w:szCs w:val="18"/>
          <w:color w:val="auto"/>
        </w:rPr>
        <w:t xml:space="preserve">. If Agent and each Purchaser Agent consents (which consent is granted as of the Closing Date but which consent may be revoked by the Agent or any Purchaser Agent at any time and which consent shall be deemed to have been revoked upon the occurrence of any Event of Default that has not been waived in accordance with the terms of this Agreement or while any Unmatured Event of Default is continuing), the amounts (if any) set aside by Servicer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in respect of the Servicing Fee may be retained by Servicer to the extent applicable for its own account. To the extent Servicer sets aside and retains such amounts, no distribution shall be made in respect of the Servicing Fee pursuant to </w:t>
      </w:r>
      <w:r>
        <w:rPr>
          <w:rFonts w:ascii="Times New Roman" w:cs="Times New Roman" w:eastAsia="Times New Roman" w:hAnsi="Times New Roman"/>
          <w:sz w:val="18"/>
          <w:szCs w:val="18"/>
          <w:u w:val="single" w:color="auto"/>
          <w:color w:val="auto"/>
        </w:rPr>
        <w:t>clause (d)(v)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(d)(ix)</w:t>
      </w:r>
      <w:r>
        <w:rPr>
          <w:rFonts w:ascii="Times New Roman" w:cs="Times New Roman" w:eastAsia="Times New Roman" w:hAnsi="Times New Roman"/>
          <w:sz w:val="18"/>
          <w:szCs w:val="18"/>
          <w:color w:val="auto"/>
        </w:rPr>
        <w:t xml:space="preserve"> above.</w:t>
      </w:r>
    </w:p>
    <w:p>
      <w:pPr>
        <w:spacing w:after="0" w:line="187" w:lineRule="exact"/>
        <w:rPr>
          <w:rFonts w:ascii="Times New Roman" w:cs="Times New Roman" w:eastAsia="Times New Roman" w:hAnsi="Times New Roman"/>
          <w:sz w:val="18"/>
          <w:szCs w:val="18"/>
          <w:color w:val="auto"/>
        </w:rPr>
      </w:pPr>
    </w:p>
    <w:p>
      <w:pPr>
        <w:jc w:val="both"/>
        <w:ind w:firstLine="645"/>
        <w:spacing w:after="0" w:line="256" w:lineRule="auto"/>
        <w:tabs>
          <w:tab w:leader="none" w:pos="103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Payment</w:t>
      </w:r>
      <w:r>
        <w:rPr>
          <w:rFonts w:ascii="Times New Roman" w:cs="Times New Roman" w:eastAsia="Times New Roman" w:hAnsi="Times New Roman"/>
          <w:sz w:val="18"/>
          <w:szCs w:val="18"/>
          <w:color w:val="auto"/>
        </w:rPr>
        <w:t xml:space="preserve">. Notwithstanding anything in this Agreement to the contrary, on any day for payment described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in respect of accrued Yield on Rate Tranches funded by Liquidity Advances or under an Enhancement Agreement), Collections during the relevant Settlement Period or Yield Period were less than the aggregate amounts payable hereunder, Servicer shall not make any payment otherwise required, and the next available Collections in respect of the Asset Interest shall be applied to such payment, and no Reinvestment shall be permitted hereunder until such amount payable has been paid in full. The foregoing shall not limit or otherwise affect the full recourse nature of Seller’s obligations hereunder.</w:t>
      </w:r>
    </w:p>
    <w:p>
      <w:pPr>
        <w:spacing w:after="0" w:line="18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3.2</w:t>
      </w:r>
      <w:r>
        <w:rPr>
          <w:sz w:val="20"/>
          <w:szCs w:val="20"/>
          <w:color w:val="auto"/>
        </w:rPr>
        <w:tab/>
      </w:r>
      <w:r>
        <w:rPr>
          <w:rFonts w:ascii="Times New Roman" w:cs="Times New Roman" w:eastAsia="Times New Roman" w:hAnsi="Times New Roman"/>
          <w:sz w:val="17"/>
          <w:szCs w:val="17"/>
          <w:u w:val="single" w:color="auto"/>
          <w:color w:val="auto"/>
        </w:rPr>
        <w:t>Deemed Collections; Reduction of Purchasers’ Total Investment, Etc.</w:t>
      </w:r>
    </w:p>
    <w:p>
      <w:pPr>
        <w:spacing w:after="0" w:line="229" w:lineRule="exact"/>
        <w:rPr>
          <w:sz w:val="20"/>
          <w:szCs w:val="20"/>
          <w:color w:val="auto"/>
        </w:rPr>
      </w:pPr>
    </w:p>
    <w:p>
      <w:pPr>
        <w:ind w:left="1020" w:hanging="375"/>
        <w:spacing w:after="0"/>
        <w:tabs>
          <w:tab w:leader="none" w:pos="102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Collections</w:t>
      </w:r>
      <w:r>
        <w:rPr>
          <w:rFonts w:ascii="Times New Roman" w:cs="Times New Roman" w:eastAsia="Times New Roman" w:hAnsi="Times New Roman"/>
          <w:sz w:val="18"/>
          <w:szCs w:val="18"/>
          <w:color w:val="auto"/>
        </w:rPr>
        <w:t>. If on any day:</w:t>
      </w:r>
    </w:p>
    <w:p>
      <w:pPr>
        <w:spacing w:after="0" w:line="225" w:lineRule="exact"/>
        <w:rPr>
          <w:rFonts w:ascii="Times New Roman" w:cs="Times New Roman" w:eastAsia="Times New Roman" w:hAnsi="Times New Roman"/>
          <w:sz w:val="18"/>
          <w:szCs w:val="18"/>
          <w:color w:val="auto"/>
        </w:rPr>
      </w:pPr>
    </w:p>
    <w:p>
      <w:pPr>
        <w:ind w:left="1640" w:hanging="347"/>
        <w:spacing w:after="0"/>
        <w:tabs>
          <w:tab w:leader="none" w:pos="1640"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Balance of any Pool Receivable is:</w:t>
      </w:r>
    </w:p>
    <w:p>
      <w:pPr>
        <w:spacing w:after="0" w:line="225" w:lineRule="exact"/>
        <w:rPr>
          <w:rFonts w:ascii="Times New Roman" w:cs="Times New Roman" w:eastAsia="Times New Roman" w:hAnsi="Times New Roman"/>
          <w:sz w:val="18"/>
          <w:szCs w:val="18"/>
          <w:color w:val="auto"/>
        </w:rPr>
      </w:pPr>
    </w:p>
    <w:p>
      <w:pPr>
        <w:jc w:val="both"/>
        <w:ind w:left="1300" w:firstLine="641"/>
        <w:spacing w:after="0" w:line="261" w:lineRule="auto"/>
        <w:tabs>
          <w:tab w:leader="none" w:pos="2385"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cancelled as a result of any defective, rejected or returned merchandise or services, any cash discount, or any other adjustment by Seller, Servicer, Originator, any of their respective Affiliates or otherwise (other than any reduction or cancellation that would constitute credit recourse for uncollectible Receivables or to the extent of any amount of any of the foregoing then included in the Adjusted Contractual Dilution Estimate in effect at such time),</w:t>
      </w:r>
    </w:p>
    <w:p>
      <w:pPr>
        <w:spacing w:after="0" w:line="180" w:lineRule="exact"/>
        <w:rPr>
          <w:rFonts w:ascii="Times New Roman" w:cs="Times New Roman" w:eastAsia="Times New Roman" w:hAnsi="Times New Roman"/>
          <w:sz w:val="18"/>
          <w:szCs w:val="18"/>
          <w:color w:val="auto"/>
        </w:rPr>
      </w:pPr>
    </w:p>
    <w:p>
      <w:pPr>
        <w:jc w:val="both"/>
        <w:ind w:left="1300" w:firstLine="641"/>
        <w:spacing w:after="0" w:line="258" w:lineRule="auto"/>
        <w:tabs>
          <w:tab w:leader="none" w:pos="2391"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cancelled as a result of a setoff or netting in respect of any dispute, claim or other action by the Obligor thereof against Seller, Servicer, Originator, any of their respective Affiliates or otherwise (whether such claim arises out of the same, a related or an unrelated transaction and other than any reduction or cancellation that would constitute credit recourse for uncollectible Receivables or to the extent of any amount of any of the foregoing then included in the Adjusted Contractual Dilution Estimate in effect at such time),</w:t>
      </w:r>
    </w:p>
    <w:p>
      <w:pPr>
        <w:spacing w:after="0" w:line="183" w:lineRule="exact"/>
        <w:rPr>
          <w:rFonts w:ascii="Times New Roman" w:cs="Times New Roman" w:eastAsia="Times New Roman" w:hAnsi="Times New Roman"/>
          <w:sz w:val="18"/>
          <w:szCs w:val="18"/>
          <w:color w:val="auto"/>
        </w:rPr>
      </w:pPr>
    </w:p>
    <w:p>
      <w:pPr>
        <w:ind w:left="2400" w:hanging="459"/>
        <w:spacing w:after="0"/>
        <w:tabs>
          <w:tab w:leader="none" w:pos="2400"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cancelled on account of the obligation of Seller, Servicer, Originator or otherwise to pay to the related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Obligor, or the</w:t>
      </w:r>
    </w:p>
    <w:p>
      <w:pPr>
        <w:spacing w:after="0" w:line="200" w:lineRule="exact"/>
        <w:rPr>
          <w:sz w:val="20"/>
          <w:szCs w:val="20"/>
          <w:color w:val="auto"/>
        </w:rPr>
      </w:pPr>
    </w:p>
    <w:p>
      <w:pPr>
        <w:spacing w:after="0" w:line="39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40" w:name="page441"/>
    <w:bookmarkEnd w:id="440"/>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payment of, any rebate, discount, refund or similar credit (other than any reduction or cancellation that would constitute credit recourse for uncollectible Receivables or to the extent of any amount of any of the foregoing then included in the Adjusted Contractual Dilution Estimate in effect at such time),</w:t>
      </w:r>
    </w:p>
    <w:p>
      <w:pPr>
        <w:spacing w:after="0" w:line="176" w:lineRule="exact"/>
        <w:rPr>
          <w:sz w:val="20"/>
          <w:szCs w:val="20"/>
          <w:color w:val="auto"/>
        </w:rPr>
      </w:pPr>
    </w:p>
    <w:p>
      <w:pPr>
        <w:jc w:val="both"/>
        <w:ind w:left="1960" w:right="20" w:firstLine="641"/>
        <w:spacing w:after="0" w:line="266" w:lineRule="auto"/>
        <w:tabs>
          <w:tab w:leader="none" w:pos="304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the amount included in calculating the Net Pool Balance for purposes of any Information Package (for any reason other than such Pool Receivable becoming a Defaulted Receivable or due to the application of Collections received with respect to such Pool Receivable), or</w:t>
      </w:r>
    </w:p>
    <w:p>
      <w:pPr>
        <w:spacing w:after="0" w:line="176" w:lineRule="exact"/>
        <w:rPr>
          <w:rFonts w:ascii="Times New Roman" w:cs="Times New Roman" w:eastAsia="Times New Roman" w:hAnsi="Times New Roman"/>
          <w:sz w:val="18"/>
          <w:szCs w:val="18"/>
          <w:color w:val="auto"/>
        </w:rPr>
      </w:pPr>
    </w:p>
    <w:p>
      <w:pPr>
        <w:ind w:left="1960" w:right="20" w:firstLine="641"/>
        <w:spacing w:after="0" w:line="282" w:lineRule="auto"/>
        <w:tabs>
          <w:tab w:leader="none" w:pos="3026"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extended, amended or otherwise modified, or any term or condition of any related Contract is amended, modified or waived (except to the extent covered by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expressly permitted by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1300" w:firstLine="653"/>
        <w:spacing w:after="0" w:line="282" w:lineRule="auto"/>
        <w:tabs>
          <w:tab w:leader="none" w:pos="241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representations or warranties of Seller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were untrue when made or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are no longer true with respect to any Pool Receivable;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then, on such day, Seller shall be deemed to have received a Collection of such Pool Receivable and Seller shall pay ratably, to the applicable Purchaser Agent, for application as provided in this Agreement an amount equal to:</w:t>
      </w:r>
    </w:p>
    <w:p>
      <w:pPr>
        <w:spacing w:after="0" w:line="162" w:lineRule="exact"/>
        <w:rPr>
          <w:sz w:val="20"/>
          <w:szCs w:val="20"/>
          <w:color w:val="auto"/>
        </w:rPr>
      </w:pPr>
    </w:p>
    <w:p>
      <w:pPr>
        <w:jc w:val="both"/>
        <w:ind w:left="1960" w:firstLine="641"/>
        <w:spacing w:after="0" w:line="258" w:lineRule="auto"/>
        <w:tabs>
          <w:tab w:leader="none" w:pos="305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clauses (i)(A)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the amount of such reduction or cancellation or the difference between the actual Unpaid Balance (as determined immediately prior to the applicable event) and the amount included in respect of such Pool Receivable in calculating the Net Pool Balance or, with respect to </w:t>
      </w:r>
      <w:r>
        <w:rPr>
          <w:rFonts w:ascii="Times New Roman" w:cs="Times New Roman" w:eastAsia="Times New Roman" w:hAnsi="Times New Roman"/>
          <w:sz w:val="18"/>
          <w:szCs w:val="18"/>
          <w:u w:val="single" w:color="auto"/>
          <w:color w:val="auto"/>
        </w:rPr>
        <w:t>clause (i)(E)</w:t>
      </w:r>
      <w:r>
        <w:rPr>
          <w:rFonts w:ascii="Times New Roman" w:cs="Times New Roman" w:eastAsia="Times New Roman" w:hAnsi="Times New Roman"/>
          <w:sz w:val="18"/>
          <w:szCs w:val="18"/>
          <w:color w:val="auto"/>
        </w:rPr>
        <w:t xml:space="preserve"> above, in the amount that such extension, modification, amendment or waiver affects the Unpaid Balance of the related Pool Receivable in the sole determination of Agent and the Purchaser Agents, as applicable; or</w:t>
      </w:r>
    </w:p>
    <w:p>
      <w:pPr>
        <w:spacing w:after="0" w:line="183" w:lineRule="exact"/>
        <w:rPr>
          <w:rFonts w:ascii="Times New Roman" w:cs="Times New Roman" w:eastAsia="Times New Roman" w:hAnsi="Times New Roman"/>
          <w:sz w:val="18"/>
          <w:szCs w:val="18"/>
          <w:color w:val="auto"/>
        </w:rPr>
      </w:pPr>
    </w:p>
    <w:p>
      <w:pPr>
        <w:jc w:val="both"/>
        <w:ind w:left="1960" w:firstLine="641"/>
        <w:spacing w:after="0" w:line="266" w:lineRule="auto"/>
        <w:tabs>
          <w:tab w:leader="none" w:pos="302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the amount of the entire Unpaid Balance of the relevant Pool Receivable or Pool Receivables (as determined immediately prior to the applicable event) with respect to which such representations or warranties were or are untrue.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Collections deemed received by Seller under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are herein referred to as “</w:t>
      </w:r>
      <w:r>
        <w:rPr>
          <w:rFonts w:ascii="Times New Roman" w:cs="Times New Roman" w:eastAsia="Times New Roman" w:hAnsi="Times New Roman"/>
          <w:sz w:val="18"/>
          <w:szCs w:val="18"/>
          <w:u w:val="single" w:color="auto"/>
          <w:color w:val="auto"/>
        </w:rPr>
        <w:t>Deemed Collections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5"/>
        <w:spacing w:after="0" w:line="282" w:lineRule="auto"/>
        <w:tabs>
          <w:tab w:leader="none" w:pos="1712"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Seller’s Optional Reduction of Purchasers’ Total Investment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Seller may at any time and from time to time elect to reduce Purchasers’ Total Investment (ratably based on the Commitment of the Committed Purchaser related Group) as follows:</w:t>
      </w:r>
    </w:p>
    <w:p>
      <w:pPr>
        <w:spacing w:after="0" w:line="200" w:lineRule="exact"/>
        <w:rPr>
          <w:sz w:val="20"/>
          <w:szCs w:val="20"/>
          <w:color w:val="auto"/>
        </w:rPr>
      </w:pPr>
    </w:p>
    <w:p>
      <w:pPr>
        <w:spacing w:after="0" w:line="350"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1" w:name="page442"/>
    <w:bookmarkEnd w:id="441"/>
    <w:p>
      <w:pPr>
        <w:ind w:left="640" w:firstLine="653"/>
        <w:spacing w:after="0" w:line="282" w:lineRule="auto"/>
        <w:tabs>
          <w:tab w:leader="none" w:pos="174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give Agent and each Purchaser Agent at least three (3) Business Days’ prior written notice of such elected reduction (including the amount of such proposed reduction and the proposed date on which such reduction will commence),</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171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proposed date of commencement of such reduction and on each day thereafter, Servicer shall refrain from reinvesting Collections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until the amount thereof not so reinvested shall equal the desired amount of reduction, and</w:t>
      </w:r>
    </w:p>
    <w:p>
      <w:pPr>
        <w:spacing w:after="0" w:line="161" w:lineRule="exact"/>
        <w:rPr>
          <w:rFonts w:ascii="Times New Roman" w:cs="Times New Roman" w:eastAsia="Times New Roman" w:hAnsi="Times New Roman"/>
          <w:sz w:val="18"/>
          <w:szCs w:val="18"/>
          <w:color w:val="auto"/>
        </w:rPr>
      </w:pPr>
    </w:p>
    <w:p>
      <w:pPr>
        <w:ind w:left="640" w:right="20" w:firstLine="653"/>
        <w:spacing w:after="0" w:line="282" w:lineRule="auto"/>
        <w:tabs>
          <w:tab w:leader="none" w:pos="1748"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hold such Collections in trust for Purchasers, pending payment to the applicable Purchaser Agent,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61" w:lineRule="exact"/>
        <w:rPr>
          <w:rFonts w:ascii="Times New Roman" w:cs="Times New Roman" w:eastAsia="Times New Roman" w:hAnsi="Times New Roman"/>
          <w:sz w:val="18"/>
          <w:szCs w:val="18"/>
          <w:color w:val="auto"/>
        </w:rPr>
      </w:pPr>
    </w:p>
    <w:p>
      <w:pPr>
        <w:jc w:val="both"/>
        <w:ind w:left="1300" w:firstLine="641"/>
        <w:spacing w:after="0" w:line="266" w:lineRule="auto"/>
        <w:tabs>
          <w:tab w:leader="none" w:pos="2423" w:val="left"/>
        </w:tabs>
        <w:numPr>
          <w:ilvl w:val="2"/>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such reduction shall be not less than $5,000,000 and shall be an integral multiple of $100,000, and Purchasers’ Total Investment after giving effect to such reduction shall be not less than $40,000,000 (unless Purchasers’ Total Investment shall thereby be reduced to zero) and shall be in an integral multiple of $100,000, and</w:t>
      </w:r>
    </w:p>
    <w:p>
      <w:pPr>
        <w:spacing w:after="0" w:line="176" w:lineRule="exact"/>
        <w:rPr>
          <w:rFonts w:ascii="Times New Roman" w:cs="Times New Roman" w:eastAsia="Times New Roman" w:hAnsi="Times New Roman"/>
          <w:sz w:val="18"/>
          <w:szCs w:val="18"/>
          <w:color w:val="auto"/>
        </w:rPr>
      </w:pPr>
    </w:p>
    <w:p>
      <w:pPr>
        <w:ind w:left="1300" w:firstLine="641"/>
        <w:spacing w:after="0" w:line="282" w:lineRule="auto"/>
        <w:tabs>
          <w:tab w:leader="none" w:pos="2435" w:val="left"/>
        </w:tabs>
        <w:numPr>
          <w:ilvl w:val="2"/>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use reasonable efforts to choose a reduction amount, and the date of commencement thereof, so that such reduction shall commence and conclude in the same Settlement Period.</w:t>
      </w:r>
    </w:p>
    <w:p>
      <w:pPr>
        <w:spacing w:after="0" w:line="161" w:lineRule="exact"/>
        <w:rPr>
          <w:rFonts w:ascii="Times New Roman" w:cs="Times New Roman" w:eastAsia="Times New Roman" w:hAnsi="Times New Roman"/>
          <w:sz w:val="18"/>
          <w:szCs w:val="18"/>
          <w:color w:val="auto"/>
        </w:rPr>
      </w:pPr>
    </w:p>
    <w:p>
      <w:pPr>
        <w:jc w:val="both"/>
        <w:ind w:firstLine="645"/>
        <w:spacing w:after="0" w:line="258" w:lineRule="auto"/>
        <w:tabs>
          <w:tab w:leader="none" w:pos="1186"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(including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after giving effect to any reduction of the Purchasers’ Total Investment under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otherwise which reduces the Purchasers’ Total Investment to zero, so long as there are no outstanding amounts constituting liabilities or other obligations of the Seller hereunder or under any other Transaction Document owing </w:t>
      </w:r>
      <w:r>
        <w:rPr>
          <w:rFonts w:ascii="Times New Roman" w:cs="Times New Roman" w:eastAsia="Times New Roman" w:hAnsi="Times New Roman"/>
          <w:sz w:val="18"/>
          <w:szCs w:val="18"/>
          <w:color w:val="0D0D0D"/>
        </w:rPr>
        <w:t>to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0D0D"/>
        </w:rPr>
        <w:t xml:space="preserve">Purchaser, any </w:t>
      </w:r>
      <w:r>
        <w:rPr>
          <w:rFonts w:ascii="Times New Roman" w:cs="Times New Roman" w:eastAsia="Times New Roman" w:hAnsi="Times New Roman"/>
          <w:sz w:val="18"/>
          <w:szCs w:val="18"/>
          <w:color w:val="000000"/>
        </w:rPr>
        <w:t>Purchaser Agent,</w:t>
      </w:r>
      <w:r>
        <w:rPr>
          <w:rFonts w:ascii="Times New Roman" w:cs="Times New Roman" w:eastAsia="Times New Roman" w:hAnsi="Times New Roman"/>
          <w:sz w:val="18"/>
          <w:szCs w:val="18"/>
          <w:color w:val="0D0D0D"/>
        </w:rPr>
        <w:t xml:space="preserve"> Agent, any Indemnified Parties or any Affected Party, </w:t>
      </w:r>
      <w:r>
        <w:rPr>
          <w:rFonts w:ascii="Times New Roman" w:cs="Times New Roman" w:eastAsia="Times New Roman" w:hAnsi="Times New Roman"/>
          <w:sz w:val="18"/>
          <w:szCs w:val="18"/>
          <w:color w:val="000000"/>
        </w:rPr>
        <w:t>no further Reinvestments shall be made unless and until a</w:t>
      </w:r>
      <w:r>
        <w:rPr>
          <w:rFonts w:ascii="Times New Roman" w:cs="Times New Roman" w:eastAsia="Times New Roman" w:hAnsi="Times New Roman"/>
          <w:sz w:val="18"/>
          <w:szCs w:val="18"/>
          <w:color w:val="0D0D0D"/>
        </w:rPr>
        <w:t xml:space="preserve"> </w:t>
      </w:r>
      <w:r>
        <w:rPr>
          <w:rFonts w:ascii="Times New Roman" w:cs="Times New Roman" w:eastAsia="Times New Roman" w:hAnsi="Times New Roman"/>
          <w:sz w:val="18"/>
          <w:szCs w:val="18"/>
          <w:color w:val="000000"/>
        </w:rPr>
        <w:t xml:space="preserve">new Purchase is made in accordance with </w:t>
      </w:r>
      <w:r>
        <w:rPr>
          <w:rFonts w:ascii="Times New Roman" w:cs="Times New Roman" w:eastAsia="Times New Roman" w:hAnsi="Times New Roman"/>
          <w:sz w:val="18"/>
          <w:szCs w:val="18"/>
          <w:u w:val="single" w:color="auto"/>
          <w:color w:val="000000"/>
        </w:rPr>
        <w:t>Sections 1.1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1.2</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3.3</w:t>
      </w:r>
      <w:r>
        <w:rPr>
          <w:sz w:val="20"/>
          <w:szCs w:val="20"/>
          <w:color w:val="auto"/>
        </w:rPr>
        <w:tab/>
      </w:r>
      <w:r>
        <w:rPr>
          <w:rFonts w:ascii="Times New Roman" w:cs="Times New Roman" w:eastAsia="Times New Roman" w:hAnsi="Times New Roman"/>
          <w:sz w:val="18"/>
          <w:szCs w:val="18"/>
          <w:u w:val="single" w:color="auto"/>
          <w:color w:val="auto"/>
        </w:rPr>
        <w:t>Payments and Computations, Etc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5"/>
        <w:spacing w:after="0" w:line="258" w:lineRule="auto"/>
        <w:tabs>
          <w:tab w:leader="none" w:pos="109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All amounts to be paid to, or deposited by Seller, Servicer or Performance Guarantor with, Agent or any other Secured Party hereunder (other than amounts payable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shall be paid or deposited in accordance with the terms hereof no later than 11:00 a.m. (New York City time) on the day when due in U.S. Dollars in same day funds to the applicable Purchaser Agent or other Secured Party to such account as such Secured Party has designated in the Fee Letter or such other account as such Secured Party shall designate in writing to Servicer from time to time.</w:t>
      </w:r>
    </w:p>
    <w:p>
      <w:pPr>
        <w:spacing w:after="0" w:line="183" w:lineRule="exact"/>
        <w:rPr>
          <w:rFonts w:ascii="Times New Roman" w:cs="Times New Roman" w:eastAsia="Times New Roman" w:hAnsi="Times New Roman"/>
          <w:sz w:val="18"/>
          <w:szCs w:val="18"/>
          <w:color w:val="auto"/>
        </w:rPr>
      </w:pPr>
    </w:p>
    <w:p>
      <w:pPr>
        <w:jc w:val="both"/>
        <w:ind w:firstLine="645"/>
        <w:spacing w:after="0" w:line="266" w:lineRule="auto"/>
        <w:tabs>
          <w:tab w:leader="none" w:pos="107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xml:space="preserve">. Seller or Servicer, as applicable, shall, out of amounts set aside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for such purpose and to the extent permitted by Law, pay to the applicable Purchaser Agent, for the benefit of the applicable Secured Party, interest on all amounts not paid or deposited on the date when due hereunder at an annual rate</w:t>
      </w:r>
    </w:p>
    <w:p>
      <w:pPr>
        <w:spacing w:after="0" w:line="200" w:lineRule="exact"/>
        <w:rPr>
          <w:sz w:val="20"/>
          <w:szCs w:val="20"/>
          <w:color w:val="auto"/>
        </w:rPr>
      </w:pPr>
    </w:p>
    <w:p>
      <w:pPr>
        <w:spacing w:after="0" w:line="36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42" w:name="page443"/>
    <w:bookmarkEnd w:id="442"/>
    <w:p>
      <w:pPr>
        <w:ind w:left="660" w:right="20"/>
        <w:spacing w:after="0" w:line="282" w:lineRule="auto"/>
        <w:rPr>
          <w:sz w:val="20"/>
          <w:szCs w:val="20"/>
          <w:color w:val="auto"/>
        </w:rPr>
      </w:pPr>
      <w:r>
        <w:rPr>
          <w:rFonts w:ascii="Times New Roman" w:cs="Times New Roman" w:eastAsia="Times New Roman" w:hAnsi="Times New Roman"/>
          <w:sz w:val="18"/>
          <w:szCs w:val="18"/>
          <w:color w:val="auto"/>
        </w:rPr>
        <w:t xml:space="preserve">equal to 1.50% above the Base Rate, payable on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interest rate shall not at any time exceed the maximum rate permitted by applicable Law.</w:t>
      </w:r>
    </w:p>
    <w:p>
      <w:pPr>
        <w:spacing w:after="0" w:line="162" w:lineRule="exact"/>
        <w:rPr>
          <w:sz w:val="20"/>
          <w:szCs w:val="20"/>
          <w:color w:val="auto"/>
        </w:rPr>
      </w:pPr>
    </w:p>
    <w:p>
      <w:pPr>
        <w:jc w:val="both"/>
        <w:ind w:left="660" w:firstLine="645"/>
        <w:spacing w:after="0" w:line="261" w:lineRule="auto"/>
        <w:tabs>
          <w:tab w:leader="none" w:pos="171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Computation</w:t>
      </w:r>
      <w:r>
        <w:rPr>
          <w:rFonts w:ascii="Times New Roman" w:cs="Times New Roman" w:eastAsia="Times New Roman" w:hAnsi="Times New Roman"/>
          <w:sz w:val="18"/>
          <w:szCs w:val="18"/>
          <w:color w:val="auto"/>
        </w:rPr>
        <w:t xml:space="preserve">. All computations of interest, Yield, Liquidation Discount, any fees payable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any other fees payable by Seller to any Purchaser, any Purchaser Agent, Agent or any other Secured Party in connection with Purchases hereunder shall be made on the basis of a year of 360 days for the actual number of days (including the first day but excluding the last day) elapsed (except that calculations with respect to the Prime Rate shall be on the basis of a year of 365 or 366 days, as the case may be).</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2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Currency and Setoff</w:t>
      </w:r>
      <w:r>
        <w:rPr>
          <w:rFonts w:ascii="Times New Roman" w:cs="Times New Roman" w:eastAsia="Times New Roman" w:hAnsi="Times New Roman"/>
          <w:sz w:val="18"/>
          <w:szCs w:val="18"/>
          <w:color w:val="auto"/>
        </w:rPr>
        <w:t>. All payments by Seller, Servicer, Performance Guarantor or Originator to any Secured Party or any other Person shall be made in U.S. Dollars and without set-off or counterclaim. Any of Seller’s, Servicer’s, Performance Guarantor’s or Originator’s obligations hereunder shall not be satisfied by any tender or recovery of another currency except to the extent such tender or recovery results in receipt of the full amount of U.S. Dollars.</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1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to the extent required by applicable Law, any and all payments and deposits required to be made hereunder, under any other Transaction Document or under any instrument delivered hereunder or thereunder to any Secured Party or otherwise hereunder or thereunder by Seller, Servicer or Performance Guarantor shall be made free and clear of, and without withholding or deduction for, any and all present or future taxes, levies, imposts, deductions, charges or withholdings, and all liabilities with respect thereto. If Seller, Servicer or Performance Guarantor shall be required by Law to make any such withholding or deduction, (i) unless such withholding or deduction is in respect of an Excluded Tax, Seller, Servicer or Performance Guarantor, as applicable, shall make an additional payment to such Secured Party, in an amount sufficient so that, after making all required withholdings or deductions (including withholdings or deductions applicable to additional sums payable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3.3(e)</w:t>
      </w:r>
      <w:r>
        <w:rPr>
          <w:rFonts w:ascii="Times New Roman" w:cs="Times New Roman" w:eastAsia="Times New Roman" w:hAnsi="Times New Roman"/>
          <w:sz w:val="18"/>
          <w:szCs w:val="18"/>
          <w:color w:val="auto"/>
        </w:rPr>
        <w:t>), such Secured Party receives an amount equal to the sum it would have received had no such withholdings or deductions been made, (ii) Seller (or Servicer, on its behalf) shall make such deductions and (iii) Seller (or Servicer, on its behalf) shall pay the full amount deducted to the relevant taxation authority or other Governmental Authority in accordance with applicable Law.</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Treatment of Collections and Deemed Collections</w:t>
      </w:r>
      <w:r>
        <w:rPr>
          <w:rFonts w:ascii="Times New Roman" w:cs="Times New Roman" w:eastAsia="Times New Roman" w:hAnsi="Times New Roman"/>
          <w:sz w:val="18"/>
          <w:szCs w:val="18"/>
          <w:color w:val="auto"/>
        </w:rPr>
        <w:t>. Seller shall immediately deliver to Servicer all Deemed Collections,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Servicer shall hold or distribute such Deemed Collections as Yield, accrued Servicing Fee, repayment of Purchasers’ Total Investment or as otherwise applicable hereunder to the same extent as if such Collections had actually been received on the date of such delivery to Servicer. So long as Seller or Servicer shall hold any Collections (including Deemed Collections) required to be paid to Servicer, any Purchaser Agent or Agent, Seller or Servicer shall hold such Collections in trust for Agent for the benefit of the applicable Secured Party and shall clearly mark its master data processing records to reflect the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Agent or any Purchaser Agent shall request it to do so in writing during the Liquidation Period or after the occurrence of any Event of Default that has not been waived in accordance with the terms of this Agreement, Seller or Servicer, and</w:t>
      </w:r>
    </w:p>
    <w:p>
      <w:pPr>
        <w:spacing w:after="0" w:line="200" w:lineRule="exact"/>
        <w:rPr>
          <w:sz w:val="20"/>
          <w:szCs w:val="20"/>
          <w:color w:val="auto"/>
        </w:rPr>
      </w:pPr>
    </w:p>
    <w:p>
      <w:pPr>
        <w:spacing w:after="0" w:line="376"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3" w:name="page444"/>
    <w:bookmarkEnd w:id="443"/>
    <w:p>
      <w:pPr>
        <w:jc w:val="both"/>
        <w:spacing w:after="0" w:line="266" w:lineRule="auto"/>
        <w:rPr>
          <w:sz w:val="20"/>
          <w:szCs w:val="20"/>
          <w:color w:val="auto"/>
        </w:rPr>
      </w:pPr>
      <w:r>
        <w:rPr>
          <w:rFonts w:ascii="Times New Roman" w:cs="Times New Roman" w:eastAsia="Times New Roman" w:hAnsi="Times New Roman"/>
          <w:sz w:val="18"/>
          <w:szCs w:val="18"/>
          <w:color w:val="auto"/>
        </w:rPr>
        <w:t>so long as Servicer is able, on each Business Day and on an equitable and consistent basis, to identify which funds are Collections on Pool Receivables, shall not be required to hold such Collections in a separate deposit account containing only such Collections and may commingle such Collections with its own funds. Seller shall promptly enforce all deemed collection and repurchase obligations of Originator under the Sale Agreement.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YIELD PROTECTION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From the Closing Date until the date following the Purchase Termination Date on which Purchasers’ Total Investment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reduced to zero, Seller shall pay to BTMUNY, each Purchaser Agent, each Purchaser and each LOC Issuer (as specified therein) all of the fees (including the Undrawn Letter of Credit Fee and any Fronting Fees, if applicable) specified in the fee letter, dated as of the date hereof (as amended, the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among Seller, MPI, Agent, Purchaser Agents, Purchasers and LOC Issuers.</w:t>
      </w:r>
    </w:p>
    <w:p>
      <w:pPr>
        <w:spacing w:after="0" w:line="17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4.2</w:t>
      </w:r>
      <w:r>
        <w:rPr>
          <w:sz w:val="20"/>
          <w:szCs w:val="20"/>
          <w:color w:val="auto"/>
        </w:rPr>
        <w:tab/>
      </w:r>
      <w:r>
        <w:rPr>
          <w:rFonts w:ascii="Times New Roman" w:cs="Times New Roman" w:eastAsia="Times New Roman" w:hAnsi="Times New Roman"/>
          <w:sz w:val="17"/>
          <w:szCs w:val="17"/>
          <w:u w:val="single" w:color="auto"/>
          <w:color w:val="auto"/>
        </w:rPr>
        <w:t>Yield Protection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right="20" w:firstLine="645"/>
        <w:spacing w:after="0" w:line="282" w:lineRule="auto"/>
        <w:tabs>
          <w:tab w:leader="none" w:pos="1721"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Regulatory Change occurring or implemented after the Prior Closing Date or, without limiting the generality of the foregoing, any Specified Regulation:</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55" w:lineRule="auto"/>
        <w:tabs>
          <w:tab w:leader="none" w:pos="2302"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subject an Affected Party to any tax, duty or other charge (other than an Excluded Tax) with respect to any Asset Interest owned, maintained or funded by it (or its participation in any of the forgoing), or any obligations or right to make Purchases or Reinvestments or to provide funding or maintenance therefor (or its participation in any of the foregoing), or shall change the basis of taxation of payments to the Affected Party or other Indemnified Party of Purchasers’ Total Investment or Yield owned by, owed to, funded or maintained in whole or in part by it (or its participation in any of the foregoing) or any other amounts due under this Agreement in respect of the Asset Interest owned, maintained or funded by it or its obligations or rights, if any, to make or participate in Purchases or Reinvestments or to provide funding therefor or the maintenance thereof;</w:t>
      </w:r>
    </w:p>
    <w:p>
      <w:pPr>
        <w:spacing w:after="0" w:line="189"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397"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modify or deem applicable any reserve, special deposit or similar requirement against assets of any Affected Party or any other Indemnified Party, deposits or obligations with or for the account of any Affected Party or any other Indemnified Party or with or for the account of any Affiliate (or entity deemed by the Federal Reserve Board or other Governmental Authority to be an affiliate) of any Affected Party or any other Indemnified Party, or credit extended by any Affected Party or any other Indemnified Party;</w:t>
      </w:r>
    </w:p>
    <w:p>
      <w:pPr>
        <w:spacing w:after="0" w:line="180"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40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impose any other condition affecting any Asset Interest owned, maintained or funded (or participated in) in whole or in part by any Affected Party or any other Indemnified Party, or its obligations or rights, if any,</w:t>
      </w:r>
    </w:p>
    <w:p>
      <w:pPr>
        <w:spacing w:after="0" w:line="200" w:lineRule="exact"/>
        <w:rPr>
          <w:sz w:val="20"/>
          <w:szCs w:val="20"/>
          <w:color w:val="auto"/>
        </w:rPr>
      </w:pPr>
    </w:p>
    <w:p>
      <w:pPr>
        <w:spacing w:after="0" w:line="350"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4" w:name="page445"/>
    <w:bookmarkEnd w:id="444"/>
    <w:p>
      <w:pPr>
        <w:ind w:left="1300"/>
        <w:spacing w:after="0"/>
        <w:rPr>
          <w:sz w:val="20"/>
          <w:szCs w:val="20"/>
          <w:color w:val="auto"/>
        </w:rPr>
      </w:pPr>
      <w:r>
        <w:rPr>
          <w:rFonts w:ascii="Times New Roman" w:cs="Times New Roman" w:eastAsia="Times New Roman" w:hAnsi="Times New Roman"/>
          <w:sz w:val="18"/>
          <w:szCs w:val="18"/>
          <w:color w:val="auto"/>
        </w:rPr>
        <w:t>to make (or participate in) Purchases or Reinvestments or to provide (or to participate in) funding therefor or the maintenance thereof;</w:t>
      </w:r>
    </w:p>
    <w:p>
      <w:pPr>
        <w:spacing w:after="0" w:line="225" w:lineRule="exact"/>
        <w:rPr>
          <w:sz w:val="20"/>
          <w:szCs w:val="20"/>
          <w:color w:val="auto"/>
        </w:rPr>
      </w:pPr>
    </w:p>
    <w:p>
      <w:pPr>
        <w:ind w:left="1300" w:firstLine="653"/>
        <w:spacing w:after="0" w:line="282" w:lineRule="auto"/>
        <w:tabs>
          <w:tab w:leader="none" w:pos="247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change the rate for, or the manner in which the Federal Deposit Insurance Corporation (or a successor thereto) or similar Person assesses deposit insurance premiums or similar charges which an Affected Party is obligated to pay; or</w:t>
      </w:r>
    </w:p>
    <w:p>
      <w:pPr>
        <w:spacing w:after="0" w:line="161" w:lineRule="exact"/>
        <w:rPr>
          <w:rFonts w:ascii="Times New Roman" w:cs="Times New Roman" w:eastAsia="Times New Roman" w:hAnsi="Times New Roman"/>
          <w:sz w:val="18"/>
          <w:szCs w:val="18"/>
          <w:color w:val="auto"/>
        </w:rPr>
      </w:pPr>
    </w:p>
    <w:p>
      <w:pPr>
        <w:ind w:left="1300" w:firstLine="653"/>
        <w:spacing w:after="0" w:line="282" w:lineRule="auto"/>
        <w:tabs>
          <w:tab w:leader="none" w:pos="235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change the amount of capital maintained or required or requested or directed to be maintained by any Affected Party or any other Indemnified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result of any of the foregoing is or would be, in each case, as determined by the Agent, any Purchaser Agent or the applicable Affected Party:</w:t>
      </w:r>
    </w:p>
    <w:p>
      <w:pPr>
        <w:spacing w:after="0" w:line="225" w:lineRule="exact"/>
        <w:rPr>
          <w:sz w:val="20"/>
          <w:szCs w:val="20"/>
          <w:color w:val="auto"/>
        </w:rPr>
      </w:pPr>
    </w:p>
    <w:p>
      <w:pPr>
        <w:jc w:val="both"/>
        <w:ind w:left="1960" w:firstLine="641"/>
        <w:spacing w:after="0" w:line="258" w:lineRule="auto"/>
        <w:tabs>
          <w:tab w:leader="none" w:pos="313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cost to (or impose a cost on) (1) an Affected Party or Indemnified Party funding or making or maintaining any Purchases or Reinvestments, any purchases, reinvestments, or loans or other extensions of credit under any Liquidity Agreement, any Enhancement Agreement or any commitment (hereunder or under any Liquidity Agreement or any Enhancement Agreement) of such Affected Party or Indemnified Party with respect to any of the foregoing, or (2) an Agent for continuing its relationship with any Purchaser or any LOC Issuer,</w:t>
      </w:r>
    </w:p>
    <w:p>
      <w:pPr>
        <w:spacing w:after="0" w:line="183" w:lineRule="exact"/>
        <w:rPr>
          <w:rFonts w:ascii="Times New Roman" w:cs="Times New Roman" w:eastAsia="Times New Roman" w:hAnsi="Times New Roman"/>
          <w:sz w:val="18"/>
          <w:szCs w:val="18"/>
          <w:color w:val="auto"/>
        </w:rPr>
      </w:pPr>
    </w:p>
    <w:p>
      <w:pPr>
        <w:jc w:val="both"/>
        <w:ind w:left="1960" w:firstLine="641"/>
        <w:spacing w:after="0" w:line="266" w:lineRule="auto"/>
        <w:tabs>
          <w:tab w:leader="none" w:pos="312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amount of any sum received or receivable by an Affected Party or Indemnified Party under this Agreement, any Liquidity Agreement or any Enhancement Agreement (or its participation in any such Liquidity Agreement or Enhancement Agreement) with respect thereto, or</w:t>
      </w:r>
    </w:p>
    <w:p>
      <w:pPr>
        <w:spacing w:after="0" w:line="176" w:lineRule="exact"/>
        <w:rPr>
          <w:rFonts w:ascii="Times New Roman" w:cs="Times New Roman" w:eastAsia="Times New Roman" w:hAnsi="Times New Roman"/>
          <w:sz w:val="18"/>
          <w:szCs w:val="18"/>
          <w:color w:val="auto"/>
        </w:rPr>
      </w:pPr>
    </w:p>
    <w:p>
      <w:pPr>
        <w:jc w:val="both"/>
        <w:ind w:left="1960" w:firstLine="641"/>
        <w:spacing w:after="0" w:line="258" w:lineRule="auto"/>
        <w:tabs>
          <w:tab w:leader="none" w:pos="312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rate of return on the capital of such Affected Party or Indemnified Party as a consequence of its obligations hereunder, under any Liquidity Agreement or under any Enhancement Agreement (or its participation in any such Liquidity Agreement or Enhancement Agreement), including its funding or maintenance of any portion of the Asset Interest, or arising in connection herewith (or therewith) to a level below that which such Affected Party or Indemnified Party could otherwise have achieved hereunder or thereunder,</w:t>
      </w:r>
    </w:p>
    <w:p>
      <w:pPr>
        <w:spacing w:after="0" w:line="184" w:lineRule="exact"/>
        <w:rPr>
          <w:sz w:val="20"/>
          <w:szCs w:val="20"/>
          <w:color w:val="auto"/>
        </w:rPr>
      </w:pPr>
    </w:p>
    <w:p>
      <w:pPr>
        <w:jc w:val="both"/>
        <w:ind w:left="660" w:firstLine="14"/>
        <w:spacing w:after="0" w:line="261" w:lineRule="auto"/>
        <w:rPr>
          <w:sz w:val="20"/>
          <w:szCs w:val="20"/>
          <w:color w:val="auto"/>
        </w:rPr>
      </w:pPr>
      <w:r>
        <w:rPr>
          <w:rFonts w:ascii="Times New Roman" w:cs="Times New Roman" w:eastAsia="Times New Roman" w:hAnsi="Times New Roman"/>
          <w:sz w:val="18"/>
          <w:szCs w:val="18"/>
          <w:color w:val="auto"/>
        </w:rPr>
        <w:t>then within ten (10) Business Days following demand by such Affected Party or Indemnified Party or Agent on its behalf (or such later date as specified in writing by such Affected Party, Indemnified Party or Agent, as applicable), Seller shall pay directly to such Affected Party or Indemnified Party such additional amount or amounts as will compensate such Affected Party or Indemnified Party for such additional or increased cost or such reduction.</w:t>
      </w:r>
    </w:p>
    <w:p>
      <w:pPr>
        <w:spacing w:after="0" w:line="200" w:lineRule="exact"/>
        <w:rPr>
          <w:sz w:val="20"/>
          <w:szCs w:val="20"/>
          <w:color w:val="auto"/>
        </w:rPr>
      </w:pPr>
    </w:p>
    <w:p>
      <w:pPr>
        <w:spacing w:after="0" w:line="36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5" w:name="page446"/>
    <w:bookmarkEnd w:id="445"/>
    <w:p>
      <w:pPr>
        <w:jc w:val="both"/>
        <w:ind w:left="660" w:firstLine="645"/>
        <w:spacing w:after="0" w:line="254" w:lineRule="auto"/>
        <w:tabs>
          <w:tab w:leader="none" w:pos="183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Affected Party or Indemnified Party, as applicable, shall promptly notify Seller and Agent of any event of which it has knowledge which will entitle such Affected Party or Indemnified Party to compensation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or delay on the part of any Affected Party or Indemnified Party to demand compensation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not constitute a waiver of such Affected Party’s or Indemnified Party’s right to demand such compensation;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Seller shall not be required to compensate an Affected Party or Indemnified Party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for any increased costs or reductions incurred more than 135 days prior to the date that such Affected Party or Indemnified Party, as the case may be, notifies Seller and Agent of the Regulatory Change giving rise to such increased costs or reductions and of such Affected Party’s or Indemnified Party’s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Regulatory Change giving rise to such increased costs or reductions is retroactive, then the 135-day period referred to above shall be extended to include the period of retroactive effect thereof.</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39"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determining any amount provided for or referred to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 Affected Party may use any reasonable averaging and attribution methods that it, in its sole discretion, shall deem applicable. Any Affected Party or Indemnified Party when making a claim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submit to Seller a statement of such increased cost or reduced return, which statement, in the absence of manifest error, shall be conclusive and binding upon Seller.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If any Affected Party or Indemnified Party incurs any reasonable cost, loss or expense (including any loss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expense incurred by reason of the liquidation or reemployment of deposits or other funds acquired by such Affected Party or Indemnified Party), at any time, as a result of (a) any settlement (including any optional or required full or partial repayment of principal) with respect to any Purchaser’s Tranche Investment of any Rate Tranche, howsoever funded, being made on any day other than the scheduled last day of an applicable Yield Period with respect thereto, (b) any Purchase not being completed by Seller in accordance with its request therefor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(c) any reduction in Purchasers’ Total Investment elected to be made under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not being exercised or completed in accordance with such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or to the extent that any such reduction exceeds the total amount of Rate Tranches, howsoever funded, with respect to which the last day of the related Yield Period is the date of such reduction in Purchasers’ Total Investment or (d) any other reduction in Purchasers’ Total Investment, then, upon receipt of a certificate from the applicable Purchaser sent by the related Purchaser Agent to Seller and Servicer, Seller and Servicer, jointly and severally, shall pay to the applicable Affected Parties, on the later of the next Settlement Date or within ten (10) Business Days of receipt of such written notice from the Agent (or during the Liquidation Period or after the occurrence of any Event of Default that has not been waived in accordance with the terms of this Agreement, within two (2) Business Days) the amount of such cost, loss or expense. Such certificate shall set forth in reasonable detail amounts owed pursuant to this Section, in the absence of manifest error, be conclusive and binding upon Seller and Servicer. If an Affected Party or Indemnified Party incurs any cost, loss or expense (including any loss or expense incurred by reason of the liquidation or reemployment of deposits or other funds acquired by such Affected Party or Indemnified Party), at any time, and is not entitled to reimbursement for such loss or expense in the manner set forth above, such</w:t>
      </w:r>
    </w:p>
    <w:p>
      <w:pPr>
        <w:spacing w:after="0" w:line="200" w:lineRule="exact"/>
        <w:rPr>
          <w:sz w:val="20"/>
          <w:szCs w:val="20"/>
          <w:color w:val="auto"/>
        </w:rPr>
      </w:pPr>
    </w:p>
    <w:p>
      <w:pPr>
        <w:spacing w:after="0" w:line="377"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6" w:name="page447"/>
    <w:bookmarkEnd w:id="446"/>
    <w:p>
      <w:pPr>
        <w:jc w:val="both"/>
        <w:spacing w:after="0" w:line="282" w:lineRule="auto"/>
        <w:rPr>
          <w:sz w:val="20"/>
          <w:szCs w:val="20"/>
          <w:color w:val="auto"/>
        </w:rPr>
      </w:pPr>
      <w:r>
        <w:rPr>
          <w:rFonts w:ascii="Times New Roman" w:cs="Times New Roman" w:eastAsia="Times New Roman" w:hAnsi="Times New Roman"/>
          <w:sz w:val="18"/>
          <w:szCs w:val="18"/>
          <w:color w:val="auto"/>
        </w:rPr>
        <w:t>Affected Party or Indemnified Party shall individually bear such loss or expense without recourse to, or payment from, any other Affected Party or Indemnified Party.</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OF PURCHASES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Closing Date; Conditions Precedent to Initial Purchase</w:t>
      </w:r>
      <w:r>
        <w:rPr>
          <w:rFonts w:ascii="Times New Roman" w:cs="Times New Roman" w:eastAsia="Times New Roman" w:hAnsi="Times New Roman"/>
          <w:sz w:val="18"/>
          <w:szCs w:val="18"/>
          <w:color w:val="auto"/>
        </w:rPr>
        <w:t>. The Prior Agreement became effective on the date on which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Section 5.1 of the Prior Agreement were satisfied (the “</w:t>
      </w:r>
      <w:r>
        <w:rPr>
          <w:rFonts w:ascii="Times New Roman" w:cs="Times New Roman" w:eastAsia="Times New Roman" w:hAnsi="Times New Roman"/>
          <w:sz w:val="18"/>
          <w:szCs w:val="18"/>
          <w:u w:val="single" w:color="auto"/>
          <w:color w:val="auto"/>
        </w:rPr>
        <w:t>Prior Closing Date</w:t>
      </w:r>
      <w:r>
        <w:rPr>
          <w:rFonts w:ascii="Times New Roman" w:cs="Times New Roman" w:eastAsia="Times New Roman" w:hAnsi="Times New Roman"/>
          <w:sz w:val="18"/>
          <w:szCs w:val="18"/>
          <w:color w:val="auto"/>
        </w:rPr>
        <w:t>”). This Agreement shall become effective on the date, which shall be January 27, 2015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or such later date as all of the conditions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satisfied. The initial Purchase (including the issuance of any Letters of Credit in connection therewith as applicable) hereunder (and the occurrence of the Closing Date) is subject to the condition precedent that Agent and each Purchaser Agent shall have received, on or before the date of such Purchase, the following, each (unless otherwise indicated) dated such date or another recent date reasonably acceptable to Agent and each Purchaser Agent and in form and substance reasonably satisfactory to Agent and each Purchaser Agent:</w:t>
      </w:r>
    </w:p>
    <w:p>
      <w:pPr>
        <w:spacing w:after="0" w:line="187" w:lineRule="exact"/>
        <w:rPr>
          <w:sz w:val="20"/>
          <w:szCs w:val="20"/>
          <w:color w:val="auto"/>
        </w:rPr>
      </w:pPr>
    </w:p>
    <w:p>
      <w:pPr>
        <w:jc w:val="both"/>
        <w:ind w:left="660" w:firstLine="645"/>
        <w:spacing w:after="0" w:line="266" w:lineRule="auto"/>
        <w:tabs>
          <w:tab w:leader="none" w:pos="1753"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or unanimous written consent, as applicable, of the board of directors, of Seller and MPI approving each Transaction Document to be delivered by it hereunder and the transactions contemplated thereby, certified by its secretary or any other authorized person;</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8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certificates (or the equivalent) for Seller, Performance Guarantor and MPI issued by the Secretary of State (or the equivalent) of the jurisdiction in which each such entity is organized;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4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the secretary or assistant secretary of each of Seller, Performance Guarantor and MPI certifying the names and true signatures of the officers authorized on its behalf to sign this Agreement and the other Transaction Documents, as applicable, and, solely with respect to Performance Guarantor, the authorization of the Transaction Documents and other legal matters relating to the transactions contemplated thereby, in form and substance reasonably satisfactory to the Agent and its counsel, to be delivered by it hereunder (on which certificate Agent, LOC Issuer and Purchasers may conclusively rely until such time as Agent and Purchaser Agents shall receive from Seller, Performance Guarantor or MPI, as the case may be, a revised certificate meeting the requirements of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36"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of incorporation or formation (or the equivalent) of each of Seller, Performance Guarantor and MPI duly certified by the Secretary of State (or the equivalent) of the jurisdiction in which each such entity is organized as of a recent date reasonably acceptable to Agent, together with a copy of the by-laws, limited liability company agreement (or the equivalent) of each of Seller, Performance Guarantor and MPI duly certified by the secretary or an assistant secretary of each such Person;</w:t>
      </w:r>
    </w:p>
    <w:p>
      <w:pPr>
        <w:spacing w:after="0" w:line="200" w:lineRule="exact"/>
        <w:rPr>
          <w:sz w:val="20"/>
          <w:szCs w:val="20"/>
          <w:color w:val="auto"/>
        </w:rPr>
      </w:pPr>
    </w:p>
    <w:p>
      <w:pPr>
        <w:spacing w:after="0" w:line="36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5" w:right="239" w:bottom="1440" w:gutter="0" w:footer="0" w:header="0"/>
        </w:sectPr>
      </w:pPr>
    </w:p>
    <w:bookmarkStart w:id="447" w:name="page448"/>
    <w:bookmarkEnd w:id="447"/>
    <w:p>
      <w:pPr>
        <w:ind w:left="660" w:firstLine="645"/>
        <w:spacing w:after="0" w:line="282" w:lineRule="auto"/>
        <w:tabs>
          <w:tab w:leader="none" w:pos="1701"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(i) the Fee Letter, (ii) the Payoff Letter, (iii) the Performance Guaranty and (iv) the Sale Agreement, in each case, duly executed by each of the parties thereto;</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03"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with respect to certain corporate matters, including with respect to enforceability, legality, no conflicts with New York Law, no conflict with material agreements and customary Investment Company Act matters, of Cravath, Swaine &amp; Moore LLP, special counsel to the Seller, MPI and Performance Guarantor or other outside counsel to the Seller, Performance Guarantor or MPI reasonably acceptable to the Agent and each Purchaser Agent;</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708"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or opinions of in-house counsel to MPI and Performance Guarantor covering standard corporate opinions including but not limited to due authorization, execution and delivery and other customary corporate matters;</w:t>
      </w:r>
    </w:p>
    <w:p>
      <w:pPr>
        <w:spacing w:after="0" w:line="161"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 forma</w:t>
      </w:r>
      <w:r>
        <w:rPr>
          <w:rFonts w:ascii="Times New Roman" w:cs="Times New Roman" w:eastAsia="Times New Roman" w:hAnsi="Times New Roman"/>
          <w:sz w:val="18"/>
          <w:szCs w:val="18"/>
          <w:color w:val="auto"/>
        </w:rPr>
        <w:t xml:space="preserve"> Information Package, prepared in respect of the proposed initial Purchase, assuming a Cut-Off Date of November 30,</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1757"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that each of the Purchaser Agents shall have received, in accordance with the terms of the Fee Letter, the amounts payable to it on the date hereof under the Fee Letter;</w:t>
      </w:r>
    </w:p>
    <w:p>
      <w:pPr>
        <w:spacing w:after="0" w:line="161"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Payoff Letter has become effective in accordance with its terms; and</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06"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agreements, instruments, certificates, opinions and other documents as Agent, any Purchaser Agent or any LOC Issuer may reasonably request.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u w:val="single" w:color="auto"/>
          <w:color w:val="auto"/>
        </w:rPr>
        <w:t>Conditions Precedent to All Purchases and Reinvestments</w:t>
      </w:r>
      <w:r>
        <w:rPr>
          <w:rFonts w:ascii="Times New Roman" w:cs="Times New Roman" w:eastAsia="Times New Roman" w:hAnsi="Times New Roman"/>
          <w:sz w:val="18"/>
          <w:szCs w:val="18"/>
          <w:color w:val="auto"/>
        </w:rPr>
        <w:t>. Each Purchase (including the initial Purchase) and each Reinvestment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(including the issuance of any Letters of Credit in connection therewith as applicable) shall be subject to the further conditions precedent that:</w:t>
      </w:r>
    </w:p>
    <w:p>
      <w:pPr>
        <w:spacing w:after="0" w:line="159" w:lineRule="exact"/>
        <w:rPr>
          <w:sz w:val="20"/>
          <w:szCs w:val="20"/>
          <w:color w:val="auto"/>
        </w:rPr>
      </w:pPr>
    </w:p>
    <w:p>
      <w:pPr>
        <w:jc w:val="both"/>
        <w:ind w:left="660" w:firstLine="645"/>
        <w:spacing w:after="0" w:line="266" w:lineRule="auto"/>
        <w:tabs>
          <w:tab w:leader="none" w:pos="176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the Servicer shall have a completed pro forma Information Package to reflect the Asset Interest and related Required Reserves and the calculation of the Purchasers’ Total Investment after giving effect to such Purchase and a completed Purchase Notice;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6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such Purchase or Reinvestment, the following statements shall be true (and Seller, by accepting the amount of such Purchase or by receiving the proceeds of such Reinvestment, shall be deemed to have certified that):</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298"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contained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in the Sale Agreement and in each other Transaction Document are true and correct on and as of such day as though made on and as of such day and shall be deemed to have been made on such day (except to the extent such representations and warranties explicitly refer solely to an earlier date, in which case they shall be correct as of such earlier date);</w:t>
      </w:r>
    </w:p>
    <w:p>
      <w:pPr>
        <w:spacing w:after="0" w:line="200" w:lineRule="exact"/>
        <w:rPr>
          <w:sz w:val="20"/>
          <w:szCs w:val="20"/>
          <w:color w:val="auto"/>
        </w:rPr>
      </w:pPr>
    </w:p>
    <w:p>
      <w:pPr>
        <w:spacing w:after="0" w:line="36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8" w:name="page449"/>
    <w:bookmarkEnd w:id="448"/>
    <w:p>
      <w:pPr>
        <w:jc w:val="both"/>
        <w:ind w:left="1300" w:firstLine="653"/>
        <w:spacing w:after="0" w:line="266" w:lineRule="auto"/>
        <w:tabs>
          <w:tab w:leader="none" w:pos="2396"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that has not been waived in accordance with the terms of this Agreement or would result from such Purchase or Reinvestment, that constitutes an Event of Default or an Unmatured Event of Default (other than an Unmatured Event of Default that has been cured before such Purchase or Reinvestment, as applicable, and before maturing into an Event of Default);</w:t>
      </w:r>
    </w:p>
    <w:p>
      <w:pPr>
        <w:spacing w:after="0" w:line="176" w:lineRule="exact"/>
        <w:rPr>
          <w:rFonts w:ascii="Times New Roman" w:cs="Times New Roman" w:eastAsia="Times New Roman" w:hAnsi="Times New Roman"/>
          <w:sz w:val="18"/>
          <w:szCs w:val="18"/>
          <w:color w:val="auto"/>
        </w:rPr>
      </w:pPr>
    </w:p>
    <w:p>
      <w:pPr>
        <w:jc w:val="both"/>
        <w:ind w:left="1300" w:right="20" w:firstLine="653"/>
        <w:spacing w:after="0" w:line="266" w:lineRule="auto"/>
        <w:tabs>
          <w:tab w:leader="none" w:pos="2415"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Purchase, the Servicer shall have a completed pro forma Information Package (based on the information from the most recent Information Package) to reflect the Asset Interest and related Required Reserves and the calculation of the Purchasers’ Total Investment after giving effect to such Purchase and a completed Purchase Notice;</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523"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each proposed Purchase or Reinvestment, (i) Purchasers’ Total Investment shall not exceed the Purchasers’ Total Commitment and (ii) the sum of Purchasers’ Total Investment and the Required Reserves would not exceed the Net Pool Balance; and</w:t>
      </w:r>
    </w:p>
    <w:p>
      <w:pPr>
        <w:spacing w:after="0" w:line="176"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Termination Date has not occurred.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1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notified the Agent and each Purchaser Agent of the account (for which it is the account owner) to which funds shall be made available pursuant to </w:t>
      </w:r>
      <w:r>
        <w:rPr>
          <w:rFonts w:ascii="Times New Roman" w:cs="Times New Roman" w:eastAsia="Times New Roman" w:hAnsi="Times New Roman"/>
          <w:sz w:val="18"/>
          <w:szCs w:val="18"/>
          <w:u w:val="single" w:color="auto"/>
          <w:color w:val="auto"/>
        </w:rPr>
        <w:t>Section 1.2(b)(ii)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1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lock-box account and related lockboxes shall be titled in the legal name of Seller and the related Lock-Box Agreement amended, in form and substance satisfactory to the Agent to reflect the proper legal name of Seller with respect to such account.</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u w:val="single" w:color="auto"/>
          <w:color w:val="auto"/>
        </w:rPr>
        <w:t>Representations and Warranties of Seller</w:t>
      </w:r>
      <w:r>
        <w:rPr>
          <w:rFonts w:ascii="Times New Roman" w:cs="Times New Roman" w:eastAsia="Times New Roman" w:hAnsi="Times New Roman"/>
          <w:sz w:val="18"/>
          <w:szCs w:val="18"/>
          <w:color w:val="auto"/>
        </w:rPr>
        <w:t>. Seller represents and warrants, as of the date hereof, and represents and warrants,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date on which a Purchase or Reinvestment is made, as applicable, as follows:</w:t>
      </w:r>
    </w:p>
    <w:p>
      <w:pPr>
        <w:spacing w:after="0" w:line="159" w:lineRule="exact"/>
        <w:rPr>
          <w:sz w:val="20"/>
          <w:szCs w:val="20"/>
          <w:color w:val="auto"/>
        </w:rPr>
      </w:pPr>
    </w:p>
    <w:p>
      <w:pPr>
        <w:jc w:val="both"/>
        <w:ind w:left="660" w:firstLine="645"/>
        <w:spacing w:after="0" w:line="261" w:lineRule="auto"/>
        <w:tabs>
          <w:tab w:leader="none" w:pos="1701"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It has been duly organized in, and is validly existing as a limited liability company in good standing under the Laws of the State of Delaware, with power and authority to own its properties and to conduct its business as such properties are presently owned and such business is presently conducted and will be conducted as contemplated herein and had at all relevant times, and now has, all necessary power, authority, and legal right to acquire and own the Pool Receivables.</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76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It is duly qualified to do business as a foreign limited liability company in good standing, and has obtained all necessary licenses and approvals, in all jurisdictions in which the ownership or lease of property or the conduct</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of its business requires such qualifications, licenses or approvals, except where the failure to do so could not reasonably be expected to result in a Material Adverse Effect.</w:t>
      </w:r>
    </w:p>
    <w:p>
      <w:pPr>
        <w:spacing w:after="0" w:line="162" w:lineRule="exact"/>
        <w:rPr>
          <w:sz w:val="20"/>
          <w:szCs w:val="20"/>
          <w:color w:val="auto"/>
        </w:rPr>
      </w:pPr>
    </w:p>
    <w:p>
      <w:pPr>
        <w:jc w:val="both"/>
        <w:ind w:left="660" w:firstLine="645"/>
        <w:spacing w:after="0" w:line="258" w:lineRule="auto"/>
        <w:tabs>
          <w:tab w:leader="none" w:pos="1783"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Due Authorization</w:t>
      </w:r>
      <w:r>
        <w:rPr>
          <w:rFonts w:ascii="Times New Roman" w:cs="Times New Roman" w:eastAsia="Times New Roman" w:hAnsi="Times New Roman"/>
          <w:sz w:val="18"/>
          <w:szCs w:val="18"/>
          <w:color w:val="auto"/>
        </w:rPr>
        <w:t>. It (i) has all necessary power, authority and legal right to (A) execute and deliver this Agreement, the Sale Agreement and the other Transaction Documents to which it is a party in any capacity, (B) carry out the terms of and perform its obligations under the Transaction Documents to which it is a party, (C) acquire the Pool Receivables pursuant to the Sale Agreement and own the Pool Receivables and (D) sell and assign the Asset Interest on the terms and conditions herein provided and (ii) has duly authorized by all necessary corporate action the execution, delivery and performance of this</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49" w:name="page450"/>
    <w:bookmarkEnd w:id="449"/>
    <w:p>
      <w:pPr>
        <w:ind w:left="4" w:right="20"/>
        <w:spacing w:after="0" w:line="282" w:lineRule="auto"/>
        <w:rPr>
          <w:sz w:val="20"/>
          <w:szCs w:val="20"/>
          <w:color w:val="auto"/>
        </w:rPr>
      </w:pPr>
      <w:r>
        <w:rPr>
          <w:rFonts w:ascii="Times New Roman" w:cs="Times New Roman" w:eastAsia="Times New Roman" w:hAnsi="Times New Roman"/>
          <w:sz w:val="18"/>
          <w:szCs w:val="18"/>
          <w:color w:val="auto"/>
        </w:rPr>
        <w:t>Agreement and the other Transaction Documents to which it is a party in any capacity and the sale and assignment of the Asset Interest on the terms and conditions herein provided.</w:t>
      </w:r>
    </w:p>
    <w:p>
      <w:pPr>
        <w:spacing w:after="0" w:line="162" w:lineRule="exact"/>
        <w:rPr>
          <w:sz w:val="20"/>
          <w:szCs w:val="20"/>
          <w:color w:val="auto"/>
        </w:rPr>
      </w:pPr>
    </w:p>
    <w:p>
      <w:pPr>
        <w:jc w:val="both"/>
        <w:ind w:left="4" w:firstLine="645"/>
        <w:spacing w:after="0" w:line="255" w:lineRule="auto"/>
        <w:tabs>
          <w:tab w:leader="none" w:pos="1096"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Sale; Binding Obligations</w:t>
      </w:r>
      <w:r>
        <w:rPr>
          <w:rFonts w:ascii="Times New Roman" w:cs="Times New Roman" w:eastAsia="Times New Roman" w:hAnsi="Times New Roman"/>
          <w:sz w:val="18"/>
          <w:szCs w:val="18"/>
          <w:color w:val="auto"/>
        </w:rPr>
        <w:t>. This Agreement constitutes an absolute and irrevocable valid sale, transfer, and assignment of the Asset Interest to Agent (on behalf of each Purchaser), for the benefit of Purchasers, or, alternatively, a granting of a valid security interest in the Asset Interest to Agent, for the benefit of Purchasers, enforceable against creditors of, and purchasers from, Seller; and this Agreement constitutes, and each other Transaction Document to be signed by Seller when duly executed and delivered by it will constitute, a legal, valid and binding obligation of Seller enforceable against Seller in accordance with its terms, except as enforceability may be limited by bankruptcy, insolvency, reorganization, and other similar Laws affecting the enforcement of creditors’ rights generally and by general principles of equity, regardless of whether such enforceability is considered in a proceeding in equity or at Law.</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72"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consummation of the transactions contemplated by this Agreement and the other Transaction Documents and the fulfillment of the terms hereof and thereof will not (i) conflict with, result in any breach or (without notice or lapse of time or both) a default under</w:t>
      </w:r>
    </w:p>
    <w:p>
      <w:pPr>
        <w:jc w:val="both"/>
        <w:ind w:left="4" w:hanging="4"/>
        <w:spacing w:after="0" w:line="252" w:lineRule="auto"/>
        <w:tabs>
          <w:tab w:leader="none" w:pos="312"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certificate of formation or limited liability company agreement, or (B) any indenture, loan agreement, asset purchase agreement, mortgage, deed of trust, or other agreement or instrument to which Seller is a party or by which it or any of its properties is bound, (ii) result in the creation or imposition of any Lien upon any of Seller’s material properties pursuant to the terms of any such indenture, loan agreement, asset purchase agreement, mortgage, deed of trust, or other agreement or instrument to which it is a party or by which it or any of its properties is bound, other than any Lien created in connection with this Agreement and the other Transaction Documents, or (iii) violate any Law applicable to it of any Governmental Authority having jurisdiction over it or any of its properties; except with respect to any violation or default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to the extent that such violation or default could individually or in the aggregate,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9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(i) To the knowledge of the Primary Officer of Seller, no actions, suits or proceedings are pending or threatened before, and no investigations, injunctions, decrees or other decisions have been issued or will be issued by any Governmental Authority, that could reasonably be expected to have, individually or in the</w:t>
      </w:r>
    </w:p>
    <w:p>
      <w:pPr>
        <w:spacing w:after="0" w:line="200" w:lineRule="exact"/>
        <w:rPr>
          <w:sz w:val="20"/>
          <w:szCs w:val="20"/>
          <w:color w:val="auto"/>
        </w:rPr>
      </w:pPr>
    </w:p>
    <w:p>
      <w:pPr>
        <w:spacing w:after="0" w:line="365"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50" w:name="page451"/>
    <w:bookmarkEnd w:id="450"/>
    <w:p>
      <w:pPr>
        <w:ind w:left="4"/>
        <w:spacing w:after="0"/>
        <w:rPr>
          <w:sz w:val="20"/>
          <w:szCs w:val="20"/>
          <w:color w:val="auto"/>
        </w:rPr>
      </w:pPr>
      <w:r>
        <w:rPr>
          <w:rFonts w:ascii="Times New Roman" w:cs="Times New Roman" w:eastAsia="Times New Roman" w:hAnsi="Times New Roman"/>
          <w:sz w:val="18"/>
          <w:szCs w:val="18"/>
          <w:color w:val="auto"/>
        </w:rPr>
        <w:t>aggregate, a Material Adverse Effect, and (ii) to the knowledge of the Primary Officer of Seller, no threat by any Person has been made to attempt to</w:t>
      </w:r>
    </w:p>
    <w:p>
      <w:pPr>
        <w:spacing w:after="0" w:line="27" w:lineRule="exact"/>
        <w:rPr>
          <w:sz w:val="20"/>
          <w:szCs w:val="20"/>
          <w:color w:val="auto"/>
        </w:rPr>
      </w:pPr>
    </w:p>
    <w:p>
      <w:pPr>
        <w:jc w:val="both"/>
        <w:ind w:left="4" w:hanging="4"/>
        <w:spacing w:after="0" w:line="253" w:lineRule="auto"/>
        <w:tabs>
          <w:tab w:leader="none" w:pos="308"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invalidate this Agreement or any of the other Transaction Documents to which it is a party, (B) prevent the servicing of the Receivables or the consummation of the purposes of this Agreement or of any of the other Transaction Documents to which it is a party, or (C) obtain any injunction, decree or other decision against it that could reasonably be expected to have, individually or in the aggregate, a Material Adverse Effect or would prevent it from conducting its business operations related to the Receivables, its providing for the servicing of the Receivables or the performance of its duties and obligations hereunder or under the other Transaction Documents to which it is a party.</w:t>
      </w:r>
    </w:p>
    <w:p>
      <w:pPr>
        <w:spacing w:after="0" w:line="187" w:lineRule="exact"/>
        <w:rPr>
          <w:rFonts w:ascii="Times New Roman" w:cs="Times New Roman" w:eastAsia="Times New Roman" w:hAnsi="Times New Roman"/>
          <w:sz w:val="18"/>
          <w:szCs w:val="18"/>
          <w:color w:val="auto"/>
        </w:rPr>
      </w:pPr>
    </w:p>
    <w:p>
      <w:pPr>
        <w:ind w:left="1044" w:hanging="395"/>
        <w:spacing w:after="0"/>
        <w:tabs>
          <w:tab w:leader="none" w:pos="104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Bulk Sales Act</w:t>
      </w:r>
      <w:r>
        <w:rPr>
          <w:rFonts w:ascii="Times New Roman" w:cs="Times New Roman" w:eastAsia="Times New Roman" w:hAnsi="Times New Roman"/>
          <w:sz w:val="18"/>
          <w:szCs w:val="18"/>
          <w:color w:val="auto"/>
        </w:rPr>
        <w:t>. No transaction contemplated hereby requires compliance by it with any bulk sales act or similar Law.</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42"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No authorization or approval or other action by, and no notice to or filing with, any Governmental Authority is required for the due execution, delivery and performance by it of this Agreement or any other Transaction Document to which it is a party, except for the filing of the UCC financing statements referred to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Prior Agreement, all of which shall have been duly made and shall be in full force and effect.</w:t>
      </w:r>
    </w:p>
    <w:p>
      <w:pPr>
        <w:spacing w:after="0" w:line="180" w:lineRule="exact"/>
        <w:rPr>
          <w:rFonts w:ascii="Times New Roman" w:cs="Times New Roman" w:eastAsia="Times New Roman" w:hAnsi="Times New Roman"/>
          <w:sz w:val="18"/>
          <w:szCs w:val="18"/>
          <w:color w:val="auto"/>
        </w:rPr>
      </w:pPr>
    </w:p>
    <w:p>
      <w:pPr>
        <w:ind w:left="4" w:firstLine="645"/>
        <w:spacing w:after="0" w:line="282" w:lineRule="auto"/>
        <w:tabs>
          <w:tab w:leader="none" w:pos="101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use of all funds obtained by Seller under this Agreement will not conflict with or contravene any of Regulations T, U and X promulgated by the Board of Governors of the Federal Reserve System.</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3" w:lineRule="auto"/>
        <w:tabs>
          <w:tab w:leader="none" w:pos="105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of Title</w:t>
      </w:r>
      <w:r>
        <w:rPr>
          <w:rFonts w:ascii="Times New Roman" w:cs="Times New Roman" w:eastAsia="Times New Roman" w:hAnsi="Times New Roman"/>
          <w:sz w:val="18"/>
          <w:szCs w:val="18"/>
          <w:color w:val="auto"/>
        </w:rPr>
        <w:t xml:space="preserve">. Seller has acquired, for fair consideration and reasonably equivalent value, all of the right, title and interest of the Originator in each Pool Receivable thereof, together with the Related Assets. Each Pool Receivable thereof, together with the Related Assets, is owned by Seller free and clear of any Lien (other than any Lien arising under any Transaction Document or solely as the result of any action taken by any Purchaser (or any assignee thereof) or by Agent); when Agent, for the benefit of Purchasers or any Purchaser makes a Purchase or Reinvestment, as applicable, it shall have acquired and shall at all times thereafter continuously maintain a valid and perfected ownership or first priority </w:t>
      </w:r>
      <w:r>
        <w:rPr>
          <w:rFonts w:ascii="Times New Roman" w:cs="Times New Roman" w:eastAsia="Times New Roman" w:hAnsi="Times New Roman"/>
          <w:sz w:val="18"/>
          <w:szCs w:val="18"/>
          <w:color w:val="0D0D0D"/>
        </w:rPr>
        <w:t>perfected security</w:t>
      </w:r>
      <w:r>
        <w:rPr>
          <w:rFonts w:ascii="Times New Roman" w:cs="Times New Roman" w:eastAsia="Times New Roman" w:hAnsi="Times New Roman"/>
          <w:sz w:val="18"/>
          <w:szCs w:val="18"/>
          <w:color w:val="auto"/>
        </w:rPr>
        <w:t xml:space="preserve"> interest in each Pool Receivable, and each Related Asset, free and clear of any Lien (other than any Lien arising under any Transaction Document or solely as the result of any action taken by any Purchaser (or any assignee thereof) or by Agent); and no financing statement or other instrument similar in effect covering any Pool Receivable, any interest therein and the Related Assets is on file in any recording office except such as may be filed (i) in favor of Originator or Seller in accordance with the Contracts or any Transaction Document (and assigned to Agent), (ii) in favor of any Purchaser or Agent in accordance with this Agreement or any Transaction Document or (iii) in connection with any Lien arising solely as the result of any action taken by any Purchaser (or any assignee thereof) or by Agent.</w:t>
      </w:r>
    </w:p>
    <w:p>
      <w:pPr>
        <w:spacing w:after="0" w:line="192" w:lineRule="exact"/>
        <w:rPr>
          <w:rFonts w:ascii="Times New Roman" w:cs="Times New Roman" w:eastAsia="Times New Roman" w:hAnsi="Times New Roman"/>
          <w:sz w:val="18"/>
          <w:szCs w:val="18"/>
          <w:color w:val="auto"/>
        </w:rPr>
      </w:pPr>
    </w:p>
    <w:p>
      <w:pPr>
        <w:ind w:left="4" w:firstLine="645"/>
        <w:spacing w:after="0" w:line="282" w:lineRule="auto"/>
        <w:tabs>
          <w:tab w:leader="none" w:pos="1096"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Reports</w:t>
      </w:r>
      <w:r>
        <w:rPr>
          <w:rFonts w:ascii="Times New Roman" w:cs="Times New Roman" w:eastAsia="Times New Roman" w:hAnsi="Times New Roman"/>
          <w:sz w:val="18"/>
          <w:szCs w:val="18"/>
          <w:color w:val="auto"/>
        </w:rPr>
        <w:t>. No Information Package or any other information, exhibit, financial statement, document, book, record or report furnished or to be furnished</w:t>
      </w:r>
    </w:p>
    <w:p>
      <w:pPr>
        <w:spacing w:after="0" w:line="200" w:lineRule="exact"/>
        <w:rPr>
          <w:sz w:val="20"/>
          <w:szCs w:val="20"/>
          <w:color w:val="auto"/>
        </w:rPr>
      </w:pPr>
    </w:p>
    <w:p>
      <w:pPr>
        <w:spacing w:after="0" w:line="350"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51" w:name="page452"/>
    <w:bookmarkEnd w:id="451"/>
    <w:p>
      <w:pPr>
        <w:jc w:val="both"/>
        <w:spacing w:after="0" w:line="266" w:lineRule="auto"/>
        <w:rPr>
          <w:sz w:val="20"/>
          <w:szCs w:val="20"/>
          <w:color w:val="auto"/>
        </w:rPr>
      </w:pPr>
      <w:r>
        <w:rPr>
          <w:rFonts w:ascii="Times New Roman" w:cs="Times New Roman" w:eastAsia="Times New Roman" w:hAnsi="Times New Roman"/>
          <w:sz w:val="18"/>
          <w:szCs w:val="18"/>
          <w:color w:val="auto"/>
        </w:rPr>
        <w:t>by or on behalf of Seller (including by Servicer) to Agent, any Purchaser Agent, any LOC Issuer or any Purchaser in connection with this Agreement or the other Transaction Documents was or will be untrue or inaccurate in any material respect as of the date it was or will be dated or (except as otherwise disclosed in writing to Agent, Purchasers and such other Secured Parties at such time) as of the date so furnished.</w:t>
      </w:r>
    </w:p>
    <w:p>
      <w:pPr>
        <w:spacing w:after="0" w:line="176" w:lineRule="exact"/>
        <w:rPr>
          <w:sz w:val="20"/>
          <w:szCs w:val="20"/>
          <w:color w:val="auto"/>
        </w:rPr>
      </w:pPr>
    </w:p>
    <w:p>
      <w:pPr>
        <w:jc w:val="both"/>
        <w:ind w:firstLine="645"/>
        <w:spacing w:after="0" w:line="256" w:lineRule="auto"/>
        <w:tabs>
          <w:tab w:leader="none" w:pos="11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Details</w:t>
      </w:r>
      <w:r>
        <w:rPr>
          <w:rFonts w:ascii="Times New Roman" w:cs="Times New Roman" w:eastAsia="Times New Roman" w:hAnsi="Times New Roman"/>
          <w:sz w:val="18"/>
          <w:szCs w:val="18"/>
          <w:color w:val="auto"/>
        </w:rPr>
        <w:t xml:space="preserve">. Seller’s true legal name as registered in the sole jurisdiction in which it is organized, the jurisdiction of such organization, its organizational identification number, if any, as designated by the jurisdiction of its organization, its federal employer identification number, if any, and the location of its chief executive office and principal place of business are specified in </w:t>
      </w:r>
      <w:r>
        <w:rPr>
          <w:rFonts w:ascii="Times New Roman" w:cs="Times New Roman" w:eastAsia="Times New Roman" w:hAnsi="Times New Roman"/>
          <w:sz w:val="18"/>
          <w:szCs w:val="18"/>
          <w:u w:val="single" w:color="auto"/>
          <w:color w:val="auto"/>
        </w:rPr>
        <w:t>Schedule 6.1(l)</w:t>
      </w:r>
      <w:r>
        <w:rPr>
          <w:rFonts w:ascii="Times New Roman" w:cs="Times New Roman" w:eastAsia="Times New Roman" w:hAnsi="Times New Roman"/>
          <w:sz w:val="18"/>
          <w:szCs w:val="18"/>
          <w:color w:val="auto"/>
        </w:rPr>
        <w:t xml:space="preserve">. Except as described in </w:t>
      </w:r>
      <w:r>
        <w:rPr>
          <w:rFonts w:ascii="Times New Roman" w:cs="Times New Roman" w:eastAsia="Times New Roman" w:hAnsi="Times New Roman"/>
          <w:sz w:val="18"/>
          <w:szCs w:val="18"/>
          <w:u w:val="single" w:color="auto"/>
          <w:color w:val="auto"/>
        </w:rPr>
        <w:t>Schedule 6.1(l)</w:t>
      </w:r>
      <w:r>
        <w:rPr>
          <w:rFonts w:ascii="Times New Roman" w:cs="Times New Roman" w:eastAsia="Times New Roman" w:hAnsi="Times New Roman"/>
          <w:sz w:val="18"/>
          <w:szCs w:val="18"/>
          <w:color w:val="auto"/>
        </w:rPr>
        <w:t>, Seller has no, and has never had any, trade names, fictitious names, assumed names or “doing business as” names and Seller has never changed the location of its chief executive office or its true legal name, identity or corporate structure. Seller is organized only in a single jurisdiction.</w:t>
      </w:r>
    </w:p>
    <w:p>
      <w:pPr>
        <w:spacing w:after="0" w:line="187" w:lineRule="exact"/>
        <w:rPr>
          <w:rFonts w:ascii="Times New Roman" w:cs="Times New Roman" w:eastAsia="Times New Roman" w:hAnsi="Times New Roman"/>
          <w:sz w:val="18"/>
          <w:szCs w:val="18"/>
          <w:color w:val="auto"/>
        </w:rPr>
      </w:pPr>
    </w:p>
    <w:p>
      <w:pPr>
        <w:jc w:val="both"/>
        <w:ind w:firstLine="645"/>
        <w:spacing w:after="0" w:line="266" w:lineRule="auto"/>
        <w:tabs>
          <w:tab w:leader="none" w:pos="115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Lock-Box Accounts</w:t>
      </w:r>
      <w:r>
        <w:rPr>
          <w:rFonts w:ascii="Times New Roman" w:cs="Times New Roman" w:eastAsia="Times New Roman" w:hAnsi="Times New Roman"/>
          <w:sz w:val="18"/>
          <w:szCs w:val="18"/>
          <w:color w:val="auto"/>
        </w:rPr>
        <w:t xml:space="preserve">. The names and addresses of all of the Lock-Box Banks, together with the account numbers of the lock-box accounts of Seller at such Lock-Box Banks, are specified in </w:t>
      </w:r>
      <w:r>
        <w:rPr>
          <w:rFonts w:ascii="Times New Roman" w:cs="Times New Roman" w:eastAsia="Times New Roman" w:hAnsi="Times New Roman"/>
          <w:sz w:val="18"/>
          <w:szCs w:val="18"/>
          <w:u w:val="single" w:color="auto"/>
          <w:color w:val="auto"/>
        </w:rPr>
        <w:t>Schedule 6.1(m)</w:t>
      </w:r>
      <w:r>
        <w:rPr>
          <w:rFonts w:ascii="Times New Roman" w:cs="Times New Roman" w:eastAsia="Times New Roman" w:hAnsi="Times New Roman"/>
          <w:sz w:val="18"/>
          <w:szCs w:val="18"/>
          <w:color w:val="auto"/>
        </w:rPr>
        <w:t xml:space="preserve"> (or have been notified to and approved by Agent and each Purchaser Agent in accordance with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45"/>
        <w:spacing w:after="0" w:line="261" w:lineRule="auto"/>
        <w:tabs>
          <w:tab w:leader="none" w:pos="110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Each Receivable included in the Net Pool Balance as an Eligible Receivable on the date of any Purchase or Reinvestment or on the date of any Information Package was an Eligible Receivable on such date. Upon and after giving effect to any Purchase or Reinvestment to be made on such date, sufficient Eligible Receivables exist in the Receivables Pool such that the sum of Purchasers’ Total Investment and the Required Reserves does not exceed the Net Pool Balance.</w:t>
      </w:r>
    </w:p>
    <w:p>
      <w:pPr>
        <w:spacing w:after="0" w:line="180"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0" w:hanging="395"/>
        <w:spacing w:after="0"/>
        <w:tabs>
          <w:tab w:leader="none" w:pos="104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Pool Receivables</w:t>
      </w:r>
      <w:r>
        <w:rPr>
          <w:rFonts w:ascii="Times New Roman" w:cs="Times New Roman" w:eastAsia="Times New Roman" w:hAnsi="Times New Roman"/>
          <w:sz w:val="18"/>
          <w:szCs w:val="18"/>
          <w:color w:val="auto"/>
        </w:rPr>
        <w:t>. The purchase of Pool Receivables (or an interest therein) pursuant to the terms hereof does not constitute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w:t>
      </w:r>
    </w:p>
    <w:p>
      <w:pPr>
        <w:spacing w:after="0" w:line="206" w:lineRule="exact"/>
        <w:rPr>
          <w:rFonts w:ascii="Times New Roman" w:cs="Times New Roman" w:eastAsia="Times New Roman" w:hAnsi="Times New Roman"/>
          <w:sz w:val="18"/>
          <w:szCs w:val="18"/>
          <w:color w:val="auto"/>
        </w:rPr>
      </w:pPr>
    </w:p>
    <w:p>
      <w:pPr>
        <w:jc w:val="both"/>
        <w:ind w:firstLine="645"/>
        <w:spacing w:after="0" w:line="266" w:lineRule="auto"/>
        <w:tabs>
          <w:tab w:leader="none" w:pos="107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w:t>
      </w:r>
      <w:r>
        <w:rPr>
          <w:rFonts w:ascii="Times New Roman" w:cs="Times New Roman" w:eastAsia="Times New Roman" w:hAnsi="Times New Roman"/>
          <w:sz w:val="18"/>
          <w:szCs w:val="18"/>
          <w:color w:val="auto"/>
        </w:rPr>
        <w:t>. Solely as of the date hereof, (i) there has been no material adverse change in the value, validity, enforceability or collectability or payment history of its receivables or of the Pool Receivables since November 30, 2014, and (ii) since Seller’s date of formation, there has been no Material Adverse Effect with respect to Seller.</w:t>
      </w:r>
    </w:p>
    <w:p>
      <w:pPr>
        <w:spacing w:after="0" w:line="176" w:lineRule="exact"/>
        <w:rPr>
          <w:rFonts w:ascii="Times New Roman" w:cs="Times New Roman" w:eastAsia="Times New Roman" w:hAnsi="Times New Roman"/>
          <w:sz w:val="18"/>
          <w:szCs w:val="18"/>
          <w:color w:val="auto"/>
        </w:rPr>
      </w:pPr>
    </w:p>
    <w:p>
      <w:pPr>
        <w:jc w:val="both"/>
        <w:ind w:firstLine="645"/>
        <w:spacing w:after="0" w:line="261" w:lineRule="auto"/>
        <w:tabs>
          <w:tab w:leader="none" w:pos="1116"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 Law</w:t>
      </w:r>
      <w:r>
        <w:rPr>
          <w:rFonts w:ascii="Times New Roman" w:cs="Times New Roman" w:eastAsia="Times New Roman" w:hAnsi="Times New Roman"/>
          <w:sz w:val="18"/>
          <w:szCs w:val="18"/>
          <w:color w:val="auto"/>
        </w:rPr>
        <w:t>. It has engaged Servicer to service the Pool Receivables in accordance with the Credit and Collection Policies and all applicable Law, and such policies have not changed in any material respect since the Closing Date, except as otherwise permitted by the Transaction Documents or with the prior written consent of Agent and each Purchaser Agent. Seller has complied in all material respects with all applicable Law.</w:t>
      </w:r>
    </w:p>
    <w:p>
      <w:pPr>
        <w:spacing w:after="0" w:line="200" w:lineRule="exact"/>
        <w:rPr>
          <w:sz w:val="20"/>
          <w:szCs w:val="20"/>
          <w:color w:val="auto"/>
        </w:rPr>
      </w:pPr>
    </w:p>
    <w:p>
      <w:pPr>
        <w:spacing w:after="0" w:line="368"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5" w:right="239" w:bottom="1440" w:gutter="0" w:footer="0" w:header="0"/>
        </w:sectPr>
      </w:pPr>
    </w:p>
    <w:bookmarkStart w:id="452" w:name="page453"/>
    <w:bookmarkEnd w:id="452"/>
    <w:p>
      <w:pPr>
        <w:ind w:left="-540" w:right="20" w:firstLine="645"/>
        <w:spacing w:after="0" w:line="282" w:lineRule="auto"/>
        <w:tabs>
          <w:tab w:leader="none" w:pos="519"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information related to Seller contained in the financial statements delivered to Agent and each Purchaser Agent is true and correct in all material respects as of the date presented or provided, as applicable.</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52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Seller is not (i) required to register as an “Investment Company” or (ii) “controlled” by an “Investment Company,” under (and as to each such term, as defined in) the Investment Company Act. Seller is not a “covered fund” under Section 13 of the U.S. Bank Holding Company Act of 1956, as amended, and the applicable rules and regulations thereunder (the “</w:t>
      </w:r>
      <w:r>
        <w:rPr>
          <w:rFonts w:ascii="Times New Roman" w:cs="Times New Roman" w:eastAsia="Times New Roman" w:hAnsi="Times New Roman"/>
          <w:sz w:val="18"/>
          <w:szCs w:val="18"/>
          <w:u w:val="single" w:color="auto"/>
          <w:color w:val="auto"/>
        </w:rPr>
        <w:t>Volcker Rule</w:t>
      </w:r>
      <w:r>
        <w:rPr>
          <w:rFonts w:ascii="Times New Roman" w:cs="Times New Roman" w:eastAsia="Times New Roman" w:hAnsi="Times New Roman"/>
          <w:sz w:val="18"/>
          <w:szCs w:val="18"/>
          <w:color w:val="auto"/>
        </w:rPr>
        <w:t>”). In determining that Seller is not a “covered fund” under the Volcker Rule, Seller is entitled to rely on the exemption from the definition of “investment company” set forth in Section 3(c)(5)(A) or (B) of the Investment Company Act.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606"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Obligations</w:t>
      </w:r>
      <w:r>
        <w:rPr>
          <w:rFonts w:ascii="Times New Roman" w:cs="Times New Roman" w:eastAsia="Times New Roman" w:hAnsi="Times New Roman"/>
          <w:sz w:val="18"/>
          <w:szCs w:val="18"/>
          <w:color w:val="auto"/>
        </w:rPr>
        <w:t>. Seller does not have outstanding any security of any kind except membership interests issued to MPI in connection with its organization and has not incurred, assumed, guaranteed or otherwise become directly or indirectly liable for, or in respect of, any other debt or obligation and no Person has any commitment or other arrangement to extend credit to Seller, in each case, other than (i) as will occur in accordance with or under the Transaction Documents and (ii) Permitted Debt.</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512"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in Other Transactions Documents</w:t>
      </w:r>
      <w:r>
        <w:rPr>
          <w:rFonts w:ascii="Times New Roman" w:cs="Times New Roman" w:eastAsia="Times New Roman" w:hAnsi="Times New Roman"/>
          <w:sz w:val="18"/>
          <w:szCs w:val="18"/>
          <w:color w:val="auto"/>
        </w:rPr>
        <w:t>. It hereby makes for the benefit of Agent and each Purchaser all of the representations and warranties it makes, in any capacity, in the other Transaction Documents to which it is a party as if such representations and warranties (together with the related and ancillary provisions) (except to the extent such representations and warranties explicitly refer to an earlier date, in which case they shall be made as of such earlier date), were set forth in full herein.</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53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Each remittance of Collections by or on behalf of Seller pursuant to the Transaction Documents and any related accounts of amounts owing hereunder in respect of the Purchases will have been (i) in payment of a debt incurred by Seller in the ordinary course of business or financial affairs of Seller and (ii) made in the ordinary course of business or financial affairs of Seller.</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49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Seller has (i) timely filed all United States Federal income tax returns and all other material tax returns required to be filed by it and (ii) paid or made adequate provision for the payment of all taxes, assessments and other governmental charges (other than such taxes, assessments and other governmental charges the validity of which is being contested in good faith or to the extent that failure to do so could not, individually or in the aggregate, reasonably be expected to result in a Material Adverse Effect).</w:t>
      </w:r>
    </w:p>
    <w:p>
      <w:pPr>
        <w:spacing w:after="0" w:line="180" w:lineRule="exact"/>
        <w:rPr>
          <w:rFonts w:ascii="Times New Roman" w:cs="Times New Roman" w:eastAsia="Times New Roman" w:hAnsi="Times New Roman"/>
          <w:sz w:val="18"/>
          <w:szCs w:val="18"/>
          <w:color w:val="auto"/>
        </w:rPr>
      </w:pPr>
    </w:p>
    <w:p>
      <w:pPr>
        <w:ind w:left="-540" w:firstLine="645"/>
        <w:spacing w:after="0" w:line="282" w:lineRule="auto"/>
        <w:tabs>
          <w:tab w:leader="none" w:pos="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No event has occurred and is continuing and no condition exists, or would result from any Purchase or Reinvestment or from the application of proceeds therefrom, that constitutes or may reasonably be expected to constitute an Event of Default.</w:t>
      </w:r>
    </w:p>
    <w:p>
      <w:pPr>
        <w:spacing w:after="0" w:line="200" w:lineRule="exact"/>
        <w:rPr>
          <w:sz w:val="20"/>
          <w:szCs w:val="20"/>
          <w:color w:val="auto"/>
        </w:rPr>
      </w:pPr>
    </w:p>
    <w:p>
      <w:pPr>
        <w:spacing w:after="0" w:line="350"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53" w:name="page454"/>
    <w:bookmarkEnd w:id="453"/>
    <w:p>
      <w:pPr>
        <w:jc w:val="both"/>
        <w:ind w:left="660" w:firstLine="645"/>
        <w:spacing w:after="0" w:line="258" w:lineRule="auto"/>
        <w:tabs>
          <w:tab w:leader="none" w:pos="175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Seller is not (i) a Person whose name appears on the list of Specially Designated Nationals and Blocked Persons published by OFAC (an “</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or a Person sanctioned by the United States of America pursuant to any of the regulations administered or enforced by OFAC (31 C.F.R., Subtitle B, Chapter V, as amended); or (ii) a department, agency or instrumentality of, or is otherwise controlled by or acting on behalf of, directly or indirectly, (x) any OFAC Listed Person, or (y) the government of a country the subject of comprehensive U.S. economic sanctions administered by OFAC (collectively, “</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Seller represents and covenants that no Purchase, nor the proceeds from any Purchase, has been or will be used,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absent valid and effective license and permits issued by the government of the United States or otherwise in accordance with applicable Laws, or in any other manner that will result in any violation by any Purchaser, any Purchaser Agent or the Agent of the sanctions administered or enforced by OFAC (31 C.F.R., Subtitle B, Chapter V, as amended).</w:t>
      </w:r>
    </w:p>
    <w:p>
      <w:pPr>
        <w:spacing w:after="0" w:line="188" w:lineRule="exact"/>
        <w:rPr>
          <w:sz w:val="20"/>
          <w:szCs w:val="20"/>
          <w:color w:val="auto"/>
        </w:rPr>
      </w:pPr>
    </w:p>
    <w:p>
      <w:pPr>
        <w:jc w:val="both"/>
        <w:ind w:left="660" w:firstLine="645"/>
        <w:spacing w:after="0" w:line="261" w:lineRule="auto"/>
        <w:tabs>
          <w:tab w:leader="none" w:pos="1768"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and Anti-Money Laundering Laws</w:t>
      </w:r>
      <w:r>
        <w:rPr>
          <w:rFonts w:ascii="Times New Roman" w:cs="Times New Roman" w:eastAsia="Times New Roman" w:hAnsi="Times New Roman"/>
          <w:sz w:val="18"/>
          <w:szCs w:val="18"/>
          <w:color w:val="auto"/>
        </w:rPr>
        <w:t>. Seller is in compliance, in all material respects, with the USA PATRIOT Act. No part of the proceeds of the Purchases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Representations and Warranties of MPI, Individually and as Servicer</w:t>
      </w:r>
      <w:r>
        <w:rPr>
          <w:rFonts w:ascii="Times New Roman" w:cs="Times New Roman" w:eastAsia="Times New Roman" w:hAnsi="Times New Roman"/>
          <w:sz w:val="18"/>
          <w:szCs w:val="18"/>
          <w:color w:val="auto"/>
        </w:rPr>
        <w:t>. MPI, individually and in its capacity as Servicer,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warrants, as of the date hereof, the Closing Date and as of each date on which a Purchase or Reinvestment is made (and each successor to MPI as Servicer as of and following the date it becomes Servicer hereunder represents and warrants, as of each date on which a Purchase or Reinvestment is made) as follows (except that no such successor Servicer that is not an Affiliate of MPI shall be deemed to make the representations and warranties contained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below) and no such successor Servicer that is not an ERISA Affiliate of the Performance Guarantor shall be deemed to make the representations and warranties contained in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jc w:val="both"/>
        <w:ind w:left="660" w:firstLine="645"/>
        <w:spacing w:after="0" w:line="258" w:lineRule="auto"/>
        <w:tabs>
          <w:tab w:leader="none" w:pos="1728"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It has been duly organized and is validly existing as a corporation (or other business entity in the case of any successor of Servicer) in good standing under the Laws of its jurisdiction of organization, with power and authority to own its properties and to conduct its business as such properties are presently owned and such business is presently conducted and had at all relevant times, and now has, all necessary power, authority, and legal right to service the Pool Receivables, except where failure would not reasonably be expected to have, individually or in the aggregate, a Material Adverse Effect.</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54" w:name="page455"/>
    <w:bookmarkEnd w:id="454"/>
    <w:p>
      <w:pPr>
        <w:jc w:val="both"/>
        <w:ind w:left="4" w:firstLine="645"/>
        <w:spacing w:after="0" w:line="261" w:lineRule="auto"/>
        <w:tabs>
          <w:tab w:leader="none" w:pos="104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It is duly qualified to do business as a foreign corporation in good standing, and has obtained all necessary licenses and approvals, in all jurisdictions in which the ownership or lease of property or the conduct of its business (including the servicing of the Pool Receivables) requires such qualifications, licenses or approvals, except where failure would not reasonably be expected to have,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jc w:val="both"/>
        <w:ind w:left="4" w:firstLine="645"/>
        <w:spacing w:after="0" w:line="258" w:lineRule="auto"/>
        <w:tabs>
          <w:tab w:leader="none" w:pos="112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Due Authorization</w:t>
      </w:r>
      <w:r>
        <w:rPr>
          <w:rFonts w:ascii="Times New Roman" w:cs="Times New Roman" w:eastAsia="Times New Roman" w:hAnsi="Times New Roman"/>
          <w:sz w:val="18"/>
          <w:szCs w:val="18"/>
          <w:color w:val="auto"/>
        </w:rPr>
        <w:t>. It (i) has all necessary power, authority and legal right to (A) execute and deliver this Agreement and the other Transaction Documents to which it is a party in any capacity, (B) carry out the terms of and perform its obligations under the Transaction Documents to which it is a party, and (C) service the Pool Receivables and Related Assets in accordance with the provisions hereof and (ii) has duly authorized by all necessary corporate action the execution, delivery and performance of this Agreement and the other Transaction Documents to which it is a party in any capacity and the servicing of the Pool Receivables in accordance with the provisions hereof.</w:t>
      </w:r>
    </w:p>
    <w:p>
      <w:pPr>
        <w:spacing w:after="0" w:line="183"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8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Obligations</w:t>
      </w:r>
      <w:r>
        <w:rPr>
          <w:rFonts w:ascii="Times New Roman" w:cs="Times New Roman" w:eastAsia="Times New Roman" w:hAnsi="Times New Roman"/>
          <w:sz w:val="18"/>
          <w:szCs w:val="18"/>
          <w:color w:val="auto"/>
        </w:rPr>
        <w:t>. This Agreement constitutes, and each other Transaction Document to be signed by it when duly executed and delivered by it will constitute, a legal, valid and binding obligation of it, enforceable against it in accordance with its terms, except as enforceability may be limited by bankruptcy, insolvency, reorganization, and other similar Laws affecting the enforcement of creditors’ rights generally and by general principles of equity, regardless of whether such enforceability is considered in a proceeding in equity or at Law.</w:t>
      </w:r>
    </w:p>
    <w:p>
      <w:pPr>
        <w:spacing w:after="0" w:line="180"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7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consummation of the transactions contemplated by this Agreement and the other Transaction Documents and the fulfillment of the terms hereof and thereof will not (i) conflict with, result in any breach or (without notice or lapse of time or both) a default under</w:t>
      </w:r>
    </w:p>
    <w:p>
      <w:pPr>
        <w:jc w:val="both"/>
        <w:ind w:left="4" w:hanging="4"/>
        <w:spacing w:after="0" w:line="252" w:lineRule="auto"/>
        <w:tabs>
          <w:tab w:leader="none" w:pos="302"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articles or certificate of incorporation or by-laws, or (B) any indenture, loan agreement, asset purchase agreement, mortgage, deed of trust, or other agreement or instrument to which it is a party or by which it or any of its properties is bound, (ii) result in the creation or imposition of any Lien upon any of its material properties pursuant to the terms of any such indenture, loan agreement, asset purchase agreement, mortgage, deed of trust, or other agreement or instrument, other than any Lien created in connection with this Agreement and the other Transaction Documents, or (iii) violate any Law applicable to it of any Governmental Authority having jurisdiction over it or any of its properties; except with respect to any violation or default referred to in </w:t>
      </w:r>
      <w:r>
        <w:rPr>
          <w:rFonts w:ascii="Times New Roman" w:cs="Times New Roman" w:eastAsia="Times New Roman" w:hAnsi="Times New Roman"/>
          <w:sz w:val="18"/>
          <w:szCs w:val="18"/>
          <w:u w:val="single" w:color="auto"/>
          <w:color w:val="auto"/>
        </w:rPr>
        <w:t>clauses (i)(B)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to the extent that such violation or default could not reasonably, individually or in the aggregate,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39"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Solely as of the date hereof, to the Primary Officer of Servicer’s knowledge, no threat by any Person has been made to attempt to (A) invalidate this Agreement or any other Transaction Document to which it is a party, (B) prevent the servicing of the Receivables or the consummation of the purposes of this Agreement or of any of the other Transaction Documents to which it is a party, or (C) seek any determination or ruling that could reasonably be expected to materially and adversely</w:t>
      </w:r>
    </w:p>
    <w:p>
      <w:pPr>
        <w:spacing w:after="0" w:line="200" w:lineRule="exact"/>
        <w:rPr>
          <w:sz w:val="20"/>
          <w:szCs w:val="20"/>
          <w:color w:val="auto"/>
        </w:rPr>
      </w:pPr>
    </w:p>
    <w:p>
      <w:pPr>
        <w:spacing w:after="0" w:line="368"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55" w:name="page456"/>
    <w:bookmarkEnd w:id="455"/>
    <w:p>
      <w:pPr>
        <w:spacing w:after="0" w:line="282" w:lineRule="auto"/>
        <w:rPr>
          <w:sz w:val="20"/>
          <w:szCs w:val="20"/>
          <w:color w:val="auto"/>
        </w:rPr>
      </w:pPr>
      <w:r>
        <w:rPr>
          <w:rFonts w:ascii="Times New Roman" w:cs="Times New Roman" w:eastAsia="Times New Roman" w:hAnsi="Times New Roman"/>
          <w:sz w:val="18"/>
          <w:szCs w:val="18"/>
          <w:color w:val="auto"/>
        </w:rPr>
        <w:t>affect (x) the performance by the Servicer of its obligations under the Transaction Documents or (y) the validity or enforceability of the Transaction Documents, a material portion of the Contracts or any material amount of the Receivables.</w:t>
      </w:r>
    </w:p>
    <w:p>
      <w:pPr>
        <w:spacing w:after="0" w:line="162" w:lineRule="exact"/>
        <w:rPr>
          <w:sz w:val="20"/>
          <w:szCs w:val="20"/>
          <w:color w:val="auto"/>
        </w:rPr>
      </w:pPr>
    </w:p>
    <w:p>
      <w:pPr>
        <w:jc w:val="both"/>
        <w:ind w:firstLine="645"/>
        <w:spacing w:after="0" w:line="261" w:lineRule="auto"/>
        <w:tabs>
          <w:tab w:leader="none" w:pos="103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No authorization or approval or other action by, and no notice to or filing with, any Governmental Authority is required for the due execution, delivery and performance by it of this Agreement or any other Transaction Document to which it is a party or the transactions contemplated thereby, except for the filing of the UCC financing statements referred to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all of which shall have been duly made and shall be in full force and effect.</w:t>
      </w:r>
    </w:p>
    <w:p>
      <w:pPr>
        <w:spacing w:after="0" w:line="180" w:lineRule="exact"/>
        <w:rPr>
          <w:rFonts w:ascii="Times New Roman" w:cs="Times New Roman" w:eastAsia="Times New Roman" w:hAnsi="Times New Roman"/>
          <w:sz w:val="18"/>
          <w:szCs w:val="18"/>
          <w:color w:val="auto"/>
        </w:rPr>
      </w:pPr>
    </w:p>
    <w:p>
      <w:pPr>
        <w:jc w:val="both"/>
        <w:ind w:firstLine="645"/>
        <w:spacing w:after="0" w:line="255" w:lineRule="auto"/>
        <w:tabs>
          <w:tab w:leader="none" w:pos="113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xml:space="preserve">. (i) The consolidated financial statements of Performance Guarantor (or following the consummation of the Specified Acquisition Transaction, New Mylan) delivered in connection with the Closing Date or, if later, most recently delivered pursuant to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are true and correct in all material respects and present fairly in all material respects the consolidated financial condition and operations of Servicer and Performance Guarantor (or following the consummation of the Specified Acquisition Transaction, New Mylan) as of such date and its results of operations as of the dates and for the period then ended, all in accordance with generally accepted accounting principles consistently applied; and (ii) since November 30, 2014, there has been no change in any condition, business, or operations of Servicer, Seller or Performance Guarantor that has had or could reasonably be expected to have, individually or in the aggregate, a Material Adverse Effect.</w:t>
      </w:r>
    </w:p>
    <w:p>
      <w:pPr>
        <w:spacing w:after="0" w:line="189" w:lineRule="exact"/>
        <w:rPr>
          <w:rFonts w:ascii="Times New Roman" w:cs="Times New Roman" w:eastAsia="Times New Roman" w:hAnsi="Times New Roman"/>
          <w:sz w:val="18"/>
          <w:szCs w:val="18"/>
          <w:color w:val="auto"/>
        </w:rPr>
      </w:pPr>
    </w:p>
    <w:p>
      <w:pPr>
        <w:jc w:val="both"/>
        <w:ind w:firstLine="645"/>
        <w:spacing w:after="0" w:line="258" w:lineRule="auto"/>
        <w:tabs>
          <w:tab w:leader="none" w:pos="99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Reports</w:t>
      </w:r>
      <w:r>
        <w:rPr>
          <w:rFonts w:ascii="Times New Roman" w:cs="Times New Roman" w:eastAsia="Times New Roman" w:hAnsi="Times New Roman"/>
          <w:sz w:val="18"/>
          <w:szCs w:val="18"/>
          <w:color w:val="auto"/>
        </w:rPr>
        <w:t>. No Information Package (to the extent information therein was supplied by it or any of its Subsidiaries or Affiliates), or any other information, exhibit, financial statement, document, book, record or report furnished or to be furnished by or on behalf of Servicer, Seller or any of their respective Affiliates to Agent, any Purchaser Agent, any LOC Issuer or any Purchaser in connection with this Agreement: was or will be untrue or inaccurate in any material respect as of the date it was or will be dated or (except as otherwise disclosed in writing to Agent, Purchasers and other Secured Parties at such time) as of the date so furnished.</w:t>
      </w:r>
    </w:p>
    <w:p>
      <w:pPr>
        <w:spacing w:after="0" w:line="183" w:lineRule="exact"/>
        <w:rPr>
          <w:rFonts w:ascii="Times New Roman" w:cs="Times New Roman" w:eastAsia="Times New Roman" w:hAnsi="Times New Roman"/>
          <w:sz w:val="18"/>
          <w:szCs w:val="18"/>
          <w:color w:val="auto"/>
        </w:rPr>
      </w:pPr>
    </w:p>
    <w:p>
      <w:pPr>
        <w:jc w:val="both"/>
        <w:ind w:firstLine="645"/>
        <w:spacing w:after="0" w:line="266" w:lineRule="auto"/>
        <w:tabs>
          <w:tab w:leader="none" w:pos="998"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Lock-Box Accounts</w:t>
      </w:r>
      <w:r>
        <w:rPr>
          <w:rFonts w:ascii="Times New Roman" w:cs="Times New Roman" w:eastAsia="Times New Roman" w:hAnsi="Times New Roman"/>
          <w:sz w:val="18"/>
          <w:szCs w:val="18"/>
          <w:color w:val="auto"/>
        </w:rPr>
        <w:t xml:space="preserve">. The names and addresses of the Lock-Box Banks, together with the account numbers of the lock-box accounts of Seller at such Lock-Box Banks, are specified in </w:t>
      </w:r>
      <w:r>
        <w:rPr>
          <w:rFonts w:ascii="Times New Roman" w:cs="Times New Roman" w:eastAsia="Times New Roman" w:hAnsi="Times New Roman"/>
          <w:sz w:val="18"/>
          <w:szCs w:val="18"/>
          <w:u w:val="single" w:color="auto"/>
          <w:color w:val="auto"/>
        </w:rPr>
        <w:t>Schedule 6.1(m)</w:t>
      </w:r>
      <w:r>
        <w:rPr>
          <w:rFonts w:ascii="Times New Roman" w:cs="Times New Roman" w:eastAsia="Times New Roman" w:hAnsi="Times New Roman"/>
          <w:sz w:val="18"/>
          <w:szCs w:val="18"/>
          <w:color w:val="auto"/>
        </w:rPr>
        <w:t xml:space="preserve"> (or have been notified to and approved by Agent and each Purchaser Agent in accordance with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106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 Programs</w:t>
      </w:r>
      <w:r>
        <w:rPr>
          <w:rFonts w:ascii="Times New Roman" w:cs="Times New Roman" w:eastAsia="Times New Roman" w:hAnsi="Times New Roman"/>
          <w:sz w:val="18"/>
          <w:szCs w:val="18"/>
          <w:color w:val="auto"/>
        </w:rPr>
        <w:t>. No material license or approval is required for Agent’s use of any software or other computer program used by Servicer, Originator or any sub-servicer in the servicing of the Receivables, other than those which have been obtained and are in full force and effect.</w:t>
      </w:r>
    </w:p>
    <w:p>
      <w:pPr>
        <w:spacing w:after="0" w:line="176" w:lineRule="exact"/>
        <w:rPr>
          <w:rFonts w:ascii="Times New Roman" w:cs="Times New Roman" w:eastAsia="Times New Roman" w:hAnsi="Times New Roman"/>
          <w:sz w:val="18"/>
          <w:szCs w:val="18"/>
          <w:color w:val="auto"/>
        </w:rPr>
      </w:pPr>
    </w:p>
    <w:p>
      <w:pPr>
        <w:ind w:left="1000" w:hanging="355"/>
        <w:spacing w:after="0"/>
        <w:tabs>
          <w:tab w:leader="none" w:pos="10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45"/>
        <w:spacing w:after="0" w:line="282" w:lineRule="auto"/>
        <w:tabs>
          <w:tab w:leader="none" w:pos="110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 Law</w:t>
      </w:r>
      <w:r>
        <w:rPr>
          <w:rFonts w:ascii="Times New Roman" w:cs="Times New Roman" w:eastAsia="Times New Roman" w:hAnsi="Times New Roman"/>
          <w:sz w:val="18"/>
          <w:szCs w:val="18"/>
          <w:color w:val="auto"/>
        </w:rPr>
        <w:t>. It has complied with the Credit and Collection Policies in all material respects and such policies have not changed in any</w:t>
      </w:r>
    </w:p>
    <w:p>
      <w:pPr>
        <w:spacing w:after="0" w:line="200" w:lineRule="exact"/>
        <w:rPr>
          <w:sz w:val="20"/>
          <w:szCs w:val="20"/>
          <w:color w:val="auto"/>
        </w:rPr>
      </w:pPr>
    </w:p>
    <w:p>
      <w:pPr>
        <w:spacing w:after="0" w:line="350"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56" w:name="page457"/>
    <w:bookmarkEnd w:id="456"/>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material respect since the Closing Date, except with the prior written consent of Agent and each Purchaser Agent. It has complied with all applicable Law except where such noncompliance, individually or in the aggregate, would not, individually or in the aggregate, have a Material Adverse Effect.</w:t>
      </w:r>
    </w:p>
    <w:p>
      <w:pPr>
        <w:spacing w:after="0" w:line="162" w:lineRule="exact"/>
        <w:rPr>
          <w:sz w:val="20"/>
          <w:szCs w:val="20"/>
          <w:color w:val="auto"/>
        </w:rPr>
      </w:pPr>
    </w:p>
    <w:p>
      <w:pPr>
        <w:ind w:left="4" w:firstLine="645"/>
        <w:spacing w:after="0" w:line="282" w:lineRule="auto"/>
        <w:tabs>
          <w:tab w:leader="none" w:pos="1069"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Servicer is not (i) required to register as an “Investment Company” or (ii) “controlled” by an “Investment Company,” under (and as to each such term, as defined in) the Investment Company Act.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6" w:lineRule="auto"/>
        <w:tabs>
          <w:tab w:leader="none" w:pos="115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could reasonably be expected to result in a Material Adverse Effect, MPI, Performance Guarantor and their respective ERISA Affiliates have fulfilled their respective obligations under the minimum funding standards of ERISA and the Code with respect to each Plan and are in compliance with the applicable provisions of ERISA, and have not incurred any liability to the PBGC under Title IV of ERISA other than a liability for premiums under Section 4007 of ERISA. No steps have been taken by any Person to terminate any Plan the assets of which are not sufficient to satisfy all of its benefit liabilities under Title IV of ERISA, except to the extent such steps or such termination could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042"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 in Receivables</w:t>
      </w:r>
      <w:r>
        <w:rPr>
          <w:rFonts w:ascii="Times New Roman" w:cs="Times New Roman" w:eastAsia="Times New Roman" w:hAnsi="Times New Roman"/>
          <w:sz w:val="18"/>
          <w:szCs w:val="18"/>
          <w:color w:val="auto"/>
        </w:rPr>
        <w:t>. Solely on the date hereof, since November 30, 2014, there has been no material adverse change in the value, validity, enforceability or collectability or payment history of its receivables or of the Pool Receivables.</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082"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Servicer has (i) timely filed all United States Federal income tax returns and all other material tax returns required to be filed and (ii) paid or made adequate provision for the payment of all taxes, assessments and other governmental charges (other than such taxes, assessments and other governmental charges the validity of which is being contested in good faith or to the extent that failure to do so could not, individually or in the aggregate, reasonably be expected to result in a Material Adverse Effect).</w:t>
      </w:r>
    </w:p>
    <w:p>
      <w:pPr>
        <w:spacing w:after="0" w:line="180"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133"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No event has occurred and is continuing and no condition exists, or would result from any Purchase or Reinvestment or from the application of proceeds therefrom, that constitutes or may reasonably be expected to constitute an Event of Default.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7" w:lineRule="auto"/>
        <w:tabs>
          <w:tab w:leader="none" w:pos="1063"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Neither the Servicer nor any subsidiary thereof is (i) an OFAC Listed Person or a Person sanctioned by the United States of America pursuant to any of the regulations administered or enforced by OFAC (31 C.F.R., Subtitle B, Chapter V, as amended); or (ii) a department, agency or instrumentality of, or is otherwise controlled by or acting on behalf of, directly or indirectly, (x) any OFAC Listed Person, or</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any OFAC Country.</w:t>
      </w:r>
    </w:p>
    <w:p>
      <w:pPr>
        <w:spacing w:after="0" w:line="207"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The Servicer represents and covenants that no Purchase, nor the proceeds from any Purchase, has been or will be used, to lend, contribute, provide or has otherwise been made or will otherwise be made available for the purpose of funding any activity or</w:t>
      </w:r>
    </w:p>
    <w:p>
      <w:pPr>
        <w:spacing w:after="0" w:line="200" w:lineRule="exact"/>
        <w:rPr>
          <w:sz w:val="20"/>
          <w:szCs w:val="20"/>
          <w:color w:val="auto"/>
        </w:rPr>
      </w:pPr>
    </w:p>
    <w:p>
      <w:pPr>
        <w:spacing w:after="0" w:line="350"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57" w:name="page458"/>
    <w:bookmarkEnd w:id="457"/>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business in any OFAC Countries or for the purpose of funding any prohibited activity or business of any Person located, organized or residing in any OFAC Country or who is an OFAC Listed Person, absent valid and effective license and permits issued by the government of the United States or otherwise in accordance with applicable Laws, or in any other manner that will result in any violation by any Purchaser, any Purchaser Agent or the Agent of the sanctions administered or enforced by OFAC (31 C.F.R., Subtitle B, Chapter V, as amended).</w:t>
      </w:r>
    </w:p>
    <w:p>
      <w:pPr>
        <w:spacing w:after="0" w:line="180" w:lineRule="exact"/>
        <w:rPr>
          <w:sz w:val="20"/>
          <w:szCs w:val="20"/>
          <w:color w:val="auto"/>
        </w:rPr>
      </w:pPr>
    </w:p>
    <w:p>
      <w:pPr>
        <w:jc w:val="both"/>
        <w:ind w:left="660" w:firstLine="645"/>
        <w:spacing w:after="0" w:line="258" w:lineRule="auto"/>
        <w:tabs>
          <w:tab w:leader="none" w:pos="169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and Anti-Money Laundering Laws</w:t>
      </w:r>
      <w:r>
        <w:rPr>
          <w:rFonts w:ascii="Times New Roman" w:cs="Times New Roman" w:eastAsia="Times New Roman" w:hAnsi="Times New Roman"/>
          <w:sz w:val="18"/>
          <w:szCs w:val="18"/>
          <w:color w:val="auto"/>
        </w:rPr>
        <w:t>. The Servicer and its subsidiaries are in compliance, in all material respects, with the USA PATRIOT Act. No part of the proceeds of the Purchases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COVENANTS OF SELLER AND SERVICER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u w:val="single" w:color="auto"/>
          <w:color w:val="auto"/>
        </w:rPr>
        <w:t>Affirmative Covenants of Seller</w:t>
      </w:r>
      <w:r>
        <w:rPr>
          <w:rFonts w:ascii="Times New Roman" w:cs="Times New Roman" w:eastAsia="Times New Roman" w:hAnsi="Times New Roman"/>
          <w:sz w:val="18"/>
          <w:szCs w:val="18"/>
          <w:color w:val="auto"/>
        </w:rPr>
        <w:t>. From the date hereof until the Final Payout Date, Seller shall, unless Agent and each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shall otherwise consent in writing:</w:t>
      </w:r>
    </w:p>
    <w:p>
      <w:pPr>
        <w:spacing w:after="0" w:line="159" w:lineRule="exact"/>
        <w:rPr>
          <w:sz w:val="20"/>
          <w:szCs w:val="20"/>
          <w:color w:val="auto"/>
        </w:rPr>
      </w:pPr>
    </w:p>
    <w:p>
      <w:pPr>
        <w:ind w:left="660" w:firstLine="645"/>
        <w:spacing w:after="0" w:line="282" w:lineRule="auto"/>
        <w:tabs>
          <w:tab w:leader="none" w:pos="168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Comply in all material respects with all applicable Laws with respect to it, the Pool Receivables and each of the related Contracts.</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06"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w:t>
      </w:r>
      <w:r>
        <w:rPr>
          <w:rFonts w:ascii="Times New Roman" w:cs="Times New Roman" w:eastAsia="Times New Roman" w:hAnsi="Times New Roman"/>
          <w:sz w:val="18"/>
          <w:szCs w:val="18"/>
          <w:color w:val="auto"/>
        </w:rPr>
        <w:t>. Preserve and maintain its limited liability company existence, rights, franchises and privileges in the jurisdiction of its organization, and qualify and remain qualified in good standing as a foreign limited liability company in each jurisdiction where the failure to qualify or preserve or maintain such existence, rights, franchises or privileges would or could reasonably be expected to have,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81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xml:space="preserve">. (i) From time to time, upon reasonable prior notice and during regular business hours, permit any representatives designated by each Purchaser, Purchaser Agent, each LOC Issuer, the Agent and any of their respective agents or representatives including certified public accountants or other auditors or consultants, on a coordinated basis (A) to examine and make copies of and abstracts from all Records in the possession or under the control of Seller or its Affiliates or agents, and (B) to visit the offices and properties of Seller or its agents for the purpose of examining such materials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to discuss matters relating to the Pool Receivables or Seller’s performance hereunder with any of the officers or employees of Seller or its Affiliates having knowledge of such matters and (ii) use commercially reasonable efforts to make its independent accountants available to discuss the affairs, finances and condition of the Seller, all at such reasonable times and as often as reasonably requested and in all cases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subject to applicable Law and the terms of</w:t>
      </w:r>
    </w:p>
    <w:p>
      <w:pPr>
        <w:spacing w:after="0" w:line="200" w:lineRule="exact"/>
        <w:rPr>
          <w:sz w:val="20"/>
          <w:szCs w:val="20"/>
          <w:color w:val="auto"/>
        </w:rPr>
      </w:pPr>
    </w:p>
    <w:p>
      <w:pPr>
        <w:spacing w:after="0" w:line="374"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58" w:name="page459"/>
    <w:bookmarkEnd w:id="458"/>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applicable confidentiality agreements;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with respect to </w:t>
      </w:r>
      <w:r>
        <w:rPr>
          <w:rFonts w:ascii="Times New Roman" w:cs="Times New Roman" w:eastAsia="Times New Roman" w:hAnsi="Times New Roman"/>
          <w:sz w:val="17"/>
          <w:szCs w:val="17"/>
          <w:u w:val="single" w:color="auto"/>
          <w:color w:val="auto"/>
        </w:rPr>
        <w:t>clauses (i)(B)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neither Seller nor any of its officers or agents shall be required to discuss any matters that Seller reasonably determines that the discussion of such matters (or the provision of written documents in respect thereof) will violate or result in the waiver of an applicable attorney-client privilege, but the foregoing will not limit the Seller’s obligation to provide the Records as well as payment information with respect to each Pool Receivable to each Purchaser, Purchaser Agent, each LOC Issuer, the Agent and their respective agents or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any Purchaser, any Purchaser Agent, each LOC Issuer, Agent and any of their respective agents or representatives including certified public accountants or other auditors or consultants will conduct such requests for visits and inspections through the Agent and (y) unless an Event of Default has occurred that has not been waived in accordance with the terms of this Agreement, such visits, inspections and discussions shall be limited to two per calendar year and at the costs and expense of the Purchasers; provided further that (a) one such visit, inspection and discussion shall be coordinated with the preparation of the annual agreed upon procedures report required pursuant to </w:t>
      </w:r>
      <w:r>
        <w:rPr>
          <w:rFonts w:ascii="Times New Roman" w:cs="Times New Roman" w:eastAsia="Times New Roman" w:hAnsi="Times New Roman"/>
          <w:sz w:val="17"/>
          <w:szCs w:val="17"/>
          <w:u w:val="single" w:color="auto"/>
          <w:color w:val="auto"/>
        </w:rPr>
        <w:t>Section 7.5(f)</w:t>
      </w:r>
      <w:r>
        <w:rPr>
          <w:rFonts w:ascii="Times New Roman" w:cs="Times New Roman" w:eastAsia="Times New Roman" w:hAnsi="Times New Roman"/>
          <w:sz w:val="17"/>
          <w:szCs w:val="17"/>
          <w:color w:val="auto"/>
        </w:rPr>
        <w:t xml:space="preserve"> and coordinated with any visits, inspections and discussions with the Servicer pursuant to </w:t>
      </w:r>
      <w:r>
        <w:rPr>
          <w:rFonts w:ascii="Times New Roman" w:cs="Times New Roman" w:eastAsia="Times New Roman" w:hAnsi="Times New Roman"/>
          <w:sz w:val="17"/>
          <w:szCs w:val="17"/>
          <w:u w:val="single" w:color="auto"/>
          <w:color w:val="auto"/>
        </w:rPr>
        <w:t>Section 7.4(c)</w:t>
      </w:r>
      <w:r>
        <w:rPr>
          <w:rFonts w:ascii="Times New Roman" w:cs="Times New Roman" w:eastAsia="Times New Roman" w:hAnsi="Times New Roman"/>
          <w:sz w:val="17"/>
          <w:szCs w:val="17"/>
          <w:color w:val="auto"/>
        </w:rPr>
        <w:t xml:space="preserve"> and (b) after the occurrence of any Event of Default that has not been waived in accordance with the terms of this Agreement all such activities shall be at the sole costs and expense of the Seller and no limitation shall be imposed on the number of visits, inspections or discussions. Each Purchaser, each Purchaser Agent, LOC Issuer, Agent and any of their respective agents or representatives including certified public accountants or other auditors or consultants shall provide the Seller the opportunity to participate in any discussions with the Seller’s independent accountants.</w:t>
      </w:r>
    </w:p>
    <w:p>
      <w:pPr>
        <w:spacing w:after="0" w:line="185" w:lineRule="exact"/>
        <w:rPr>
          <w:sz w:val="20"/>
          <w:szCs w:val="20"/>
          <w:color w:val="auto"/>
        </w:rPr>
      </w:pPr>
    </w:p>
    <w:p>
      <w:pPr>
        <w:jc w:val="both"/>
        <w:ind w:firstLine="645"/>
        <w:spacing w:after="0" w:line="254" w:lineRule="auto"/>
        <w:tabs>
          <w:tab w:leader="none" w:pos="1173"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Records and Books of Account; Delivery</w:t>
      </w:r>
      <w:r>
        <w:rPr>
          <w:rFonts w:ascii="Times New Roman" w:cs="Times New Roman" w:eastAsia="Times New Roman" w:hAnsi="Times New Roman"/>
          <w:sz w:val="18"/>
          <w:szCs w:val="18"/>
          <w:color w:val="auto"/>
        </w:rPr>
        <w:t>. Maintain and implement, or cause to be maintained and implemented, administrative and operating procedures (including an ability to recreate records evidencing the Pool Receivables and Related Assets in the event of the destruction of the originals thereof, backing up on at least a daily basis on a separate backup computer from which electronic file copies can be readily produced and distributed to third parties being agreed to suffice for this purpose), and keep and maintain, or cause to be kept and maintained, all documents, books, records and other information necessary or advisable for the collection of all Pool Receivables and Related Assets (including records adequate to permit the daily identification of each new Pool Receivable and all Collections of and adjustments to each existing Pool Receivable received, made or otherwise processed on that day). At any time after the occurrence of an Event of Default, upon the request of Agent or any Purchaser Agent, deliver or cause Servicer to deliver the originals of all Contracts to Agent, together with electronic and other files applicable thereto, and other Records necessary to enforce the related Receivable against the Obligor thereof.</w:t>
      </w:r>
    </w:p>
    <w:p>
      <w:pPr>
        <w:spacing w:after="0" w:line="189" w:lineRule="exact"/>
        <w:rPr>
          <w:rFonts w:ascii="Times New Roman" w:cs="Times New Roman" w:eastAsia="Times New Roman" w:hAnsi="Times New Roman"/>
          <w:sz w:val="18"/>
          <w:szCs w:val="18"/>
          <w:color w:val="auto"/>
        </w:rPr>
      </w:pPr>
    </w:p>
    <w:p>
      <w:pPr>
        <w:jc w:val="both"/>
        <w:ind w:firstLine="645"/>
        <w:spacing w:after="0" w:line="261" w:lineRule="auto"/>
        <w:tabs>
          <w:tab w:leader="none" w:pos="110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and Compliance with Pool Receivables and Contracts</w:t>
      </w:r>
      <w:r>
        <w:rPr>
          <w:rFonts w:ascii="Times New Roman" w:cs="Times New Roman" w:eastAsia="Times New Roman" w:hAnsi="Times New Roman"/>
          <w:sz w:val="18"/>
          <w:szCs w:val="18"/>
          <w:color w:val="auto"/>
        </w:rPr>
        <w:t>. At its expense, timely and fully perform and comply with all material provisions, covenants and other promises required to be observed by it under the Contracts and the Pool Receivables, unless Originator or Seller makes a Deemed Collection payment in respect of the entire Unpaid Balance thereof in accordance with Section 3.2(a)(ii) of the Sale Agreement.</w:t>
      </w:r>
    </w:p>
    <w:p>
      <w:pPr>
        <w:spacing w:after="0" w:line="200" w:lineRule="exact"/>
        <w:rPr>
          <w:sz w:val="20"/>
          <w:szCs w:val="20"/>
          <w:color w:val="auto"/>
        </w:rPr>
      </w:pPr>
    </w:p>
    <w:p>
      <w:pPr>
        <w:spacing w:after="0" w:line="368"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59" w:name="page460"/>
    <w:bookmarkEnd w:id="459"/>
    <w:p>
      <w:pPr>
        <w:ind w:left="660" w:firstLine="645"/>
        <w:spacing w:after="0" w:line="282" w:lineRule="auto"/>
        <w:tabs>
          <w:tab w:leader="none" w:pos="170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Records</w:t>
      </w:r>
      <w:r>
        <w:rPr>
          <w:rFonts w:ascii="Times New Roman" w:cs="Times New Roman" w:eastAsia="Times New Roman" w:hAnsi="Times New Roman"/>
          <w:sz w:val="18"/>
          <w:szCs w:val="18"/>
          <w:color w:val="auto"/>
        </w:rPr>
        <w:t xml:space="preserve">. Keep the Records (and all original documents relating thereto), at the addresses of Seller referred to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or at such other locations identified in the most recently delivered Information Package.</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12"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w:t>
      </w:r>
      <w:r>
        <w:rPr>
          <w:rFonts w:ascii="Times New Roman" w:cs="Times New Roman" w:eastAsia="Times New Roman" w:hAnsi="Times New Roman"/>
          <w:sz w:val="18"/>
          <w:szCs w:val="18"/>
          <w:color w:val="auto"/>
        </w:rPr>
        <w:t>. Cause Servicer to service the Pool Receivables and Related Security in accordance with the Credit and Collection Policies in all material respects and not agree to any material changes thereto (including changes that would materially impair the value, validity, collectability or enforceability of, or materially increase the days-to-pay, Dilution or Contractual Dilution in excess of the Adjusted Contractual Dilution Estimate at such time with respect to, any Pool Receivables) without the prior written consent of Agent and each Purchaser Agent.</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2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(i) Instruct or cause Servicer to instruct all Obligors to cause all Collections of Pool Receivables to be deposited directly with a Lock-Box Bank. In the event Seller or its Affiliates receive any Collections, they will deposit such Collections in a lock-box account with a Lock-Box Bank covered by a Lock-Box Agreement the earlier of (A) within four (4) Business Days of such receipt and (B) within two (2) Business Days of identification thereof as Collections and (ii) in the event a Lock-Box Agreement is terminated, direct the applicable Lock-Box Bank to direct Collections received into the applicable lock-box or amounts deposited into the applicable lock-box account, as directed by the Agent.</w:t>
      </w:r>
    </w:p>
    <w:p>
      <w:pPr>
        <w:spacing w:after="0" w:line="183"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69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and Title</w:t>
      </w:r>
      <w:r>
        <w:rPr>
          <w:rFonts w:ascii="Times New Roman" w:cs="Times New Roman" w:eastAsia="Times New Roman" w:hAnsi="Times New Roman"/>
          <w:sz w:val="18"/>
          <w:szCs w:val="18"/>
          <w:color w:val="auto"/>
        </w:rPr>
        <w:t>. Hold all right, title and interest in each Pool Receivable, except to the extent that any such right, title or interest has been granted, sold or otherwise transferred to Agent or any Purchaser hereunder.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93"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Without limiting any of Seller’s covenants or agreements set forth herein or in any other Transaction Document, comply with each and every of its covenants and agreements under each Transaction Document to which it is a party in any capacity and its certificate of formation and limited liability company agreement, which (together with the related definitions and ancillary provisions) is hereby incorporated herein by reference for the benefit of Purchasers and Agent.</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69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Sale Agreement and Performance Guaranty</w:t>
      </w:r>
      <w:r>
        <w:rPr>
          <w:rFonts w:ascii="Times New Roman" w:cs="Times New Roman" w:eastAsia="Times New Roman" w:hAnsi="Times New Roman"/>
          <w:sz w:val="18"/>
          <w:szCs w:val="18"/>
          <w:color w:val="auto"/>
        </w:rPr>
        <w:t>. On its own behalf and on behalf of Purchasers and Agent, shall promptly enforce all material covenants and obligations of Originator contained in the Sale Agreement or the Performance Guarantor in the Performance Guaranty, as applicable, and shall deliver consents, approvals, directions, notices, waivers and take other actions under the Sale Agreement or the Performance Guaranty, as applicable, as may be reasonably directed by Agent.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u w:val="single" w:color="auto"/>
          <w:color w:val="auto"/>
        </w:rPr>
        <w:t>Reporting Requirements of Seller</w:t>
      </w:r>
      <w:r>
        <w:rPr>
          <w:rFonts w:ascii="Times New Roman" w:cs="Times New Roman" w:eastAsia="Times New Roman" w:hAnsi="Times New Roman"/>
          <w:sz w:val="18"/>
          <w:szCs w:val="18"/>
          <w:color w:val="auto"/>
        </w:rPr>
        <w:t>. From the date hereof until the Final Payout Date, Seller shall (or shall cause the Servicer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on behalf of the Seller), unless Agent and each Purchaser Agent shall otherwise consent in writing, furnish or cause to be furnished to Agent and each Purchaser Agent:</w:t>
      </w:r>
    </w:p>
    <w:p>
      <w:pPr>
        <w:spacing w:after="0" w:line="200" w:lineRule="exact"/>
        <w:rPr>
          <w:sz w:val="20"/>
          <w:szCs w:val="20"/>
          <w:color w:val="auto"/>
        </w:rPr>
      </w:pPr>
    </w:p>
    <w:p>
      <w:pPr>
        <w:spacing w:after="0" w:line="363"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60" w:name="page461"/>
    <w:bookmarkEnd w:id="460"/>
    <w:p>
      <w:pPr>
        <w:jc w:val="both"/>
        <w:ind w:left="-540" w:firstLine="645"/>
        <w:spacing w:after="0" w:line="255" w:lineRule="auto"/>
        <w:tabs>
          <w:tab w:leader="none" w:pos="48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 As soon as available and in any event within forty-five (45) days after the end of each fiscal quarter of Seller, copies of the unaudited income statement and balance sheet of Seller with respect to such quarter, in conformity with generally accepted accounting principles, duly certified by the chief financial officer or other executive officer of Seller with respect to such quarter; and (ii) as soon as available and in any event within ninety (90) days after the end of the fiscal year of Seller, copies of the unaudited annual income statement and balance sheet of Seller, prepared in conformity with generally accepted accounting principles, duly certified by the chief financial officer or other executive officer of Seller with respect to such fiscal year. Financial statements shall be deemed to have been delivered if such statements and information shall have been posted by or on behalf of the Seller on its website or shall have been posted on IntraLinks or similar site to which all of the Agent and Purchaser Agents have been granted access or are publicly available on the SEC’s website pursuant to the EDGAR system.</w:t>
      </w:r>
    </w:p>
    <w:p>
      <w:pPr>
        <w:spacing w:after="0" w:line="185" w:lineRule="exact"/>
        <w:rPr>
          <w:rFonts w:ascii="Times New Roman" w:cs="Times New Roman" w:eastAsia="Times New Roman" w:hAnsi="Times New Roman"/>
          <w:sz w:val="18"/>
          <w:szCs w:val="18"/>
          <w:color w:val="auto"/>
        </w:rPr>
      </w:pPr>
    </w:p>
    <w:p>
      <w:pPr>
        <w:ind w:left="-540" w:firstLine="645"/>
        <w:spacing w:after="0" w:line="282" w:lineRule="auto"/>
        <w:tabs>
          <w:tab w:leader="none" w:pos="53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Written notice of any ERISA Event that Seller becomes aware of the occurrence of which, alone or together with any other ERISA Event that has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583"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Prompt notice of the occurrence of each Event of Default, each Unmatured Event of Default, any failure by Performance Guarantor or New Mylan (as applicable) to comply with the Financial Covenants set forth in any Credit Agreement and each Event of Default, accompanied by a written statement of an appropriate officer of Seller setting forth details of such event and the action that Seller proposes to take with respect thereto, such notice to be provided as soon as possible, and in any event within five (5) Business Days after Seller obtains knowledge of any such event.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53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soon as possible, and in any event within five (5) Business Days of a Primary Officer of Seller obtaining knowledge thereof, notice of (i) any action, suit or proceeding by or before an arbiter or Governmental Authority (including a contingency thereof) initiated against Seller and (ii) any development in previously disclosed action, suit or proceeding which, individually or in the aggregate, is materially adverse in the Seller’s reasonable determination.</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50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Pool Receivables Agreed Upon Procedures Report</w:t>
      </w:r>
      <w:r>
        <w:rPr>
          <w:rFonts w:ascii="Times New Roman" w:cs="Times New Roman" w:eastAsia="Times New Roman" w:hAnsi="Times New Roman"/>
          <w:sz w:val="18"/>
          <w:szCs w:val="18"/>
          <w:color w:val="auto"/>
        </w:rPr>
        <w:t>. Not later than forty-five (45) days following the Agent’s or any Purchaser Agent’s delivery to the Seller of a written request therefor (at the sole cost and expense of Seller), (i) a copy of an agreed upon procedures report, prepared by an accounting firm or consulting firm acceptable to Agent in Agent’s sole discretion, for the Pool Receivables, as of the end of the preceding 12 months, stating the aggregate Unpaid Balance of the Pool Receivables, the Net Pool Balance, the Unpaid Balance of the Defaulted Receivables and Diluted Receivables and confirming that, based upon its performance of the agreed upon procedures, such accountants or consultants found nothing that would indicate that the Information Package provided for the Settlement Period ended on or next preceding the last day of such fiscal year of Seller is inaccurate or incomplete; and (ii) a copy of an agreed upon procedures report prepared by the same nationally recognized independent certified</w:t>
      </w:r>
    </w:p>
    <w:p>
      <w:pPr>
        <w:spacing w:after="0" w:line="200" w:lineRule="exact"/>
        <w:rPr>
          <w:sz w:val="20"/>
          <w:szCs w:val="20"/>
          <w:color w:val="auto"/>
        </w:rPr>
      </w:pPr>
    </w:p>
    <w:p>
      <w:pPr>
        <w:spacing w:after="0" w:line="374"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61" w:name="page462"/>
    <w:bookmarkEnd w:id="461"/>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public accountants or consultants, or a management report addressed to Agent with a copy to each Purchaser Agent relating to the ability of Servicer to perform or observe any term, covenant or condition relating to it hereunder as Servicer. The scope of the above agreed upon procedures for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be as reasonably requested by the Agent after consultation with each Purchaser Agent. Notwithstanding the foregoing, so long as no Event of Default has occurred, the Seller shall not be required to deliver the agreed upon procedures reports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left="920" w:hanging="264"/>
        <w:spacing w:after="0"/>
        <w:tabs>
          <w:tab w:leader="none" w:pos="920" w:val="left"/>
        </w:tabs>
        <w:numPr>
          <w:ilvl w:val="0"/>
          <w:numId w:val="4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more than once in any twelve (12) calendar month period.</w:t>
      </w:r>
    </w:p>
    <w:p>
      <w:pPr>
        <w:spacing w:after="0" w:line="206" w:lineRule="exact"/>
        <w:rPr>
          <w:rFonts w:ascii="Times New Roman" w:cs="Times New Roman" w:eastAsia="Times New Roman" w:hAnsi="Times New Roman"/>
          <w:sz w:val="18"/>
          <w:szCs w:val="18"/>
          <w:u w:val="single" w:color="auto"/>
          <w:color w:val="auto"/>
        </w:rPr>
      </w:pPr>
    </w:p>
    <w:p>
      <w:pPr>
        <w:jc w:val="both"/>
        <w:ind w:left="660" w:firstLine="645"/>
        <w:spacing w:after="0" w:line="266" w:lineRule="auto"/>
        <w:tabs>
          <w:tab w:leader="none" w:pos="1682"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or Business</w:t>
      </w:r>
      <w:r>
        <w:rPr>
          <w:rFonts w:ascii="Times New Roman" w:cs="Times New Roman" w:eastAsia="Times New Roman" w:hAnsi="Times New Roman"/>
          <w:sz w:val="18"/>
          <w:szCs w:val="18"/>
          <w:color w:val="auto"/>
        </w:rPr>
        <w:t>. (i) Prior to its effective date, notice of (a) any material change in the Credit and Collection Policies; or (b) Seller making a change or changes in the character of its business and (ii) within 30 days of each annual anniversary of the Closing Date, an updated copy of the Credit and Collection Policies.</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3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Accounting Policy</w:t>
      </w:r>
      <w:r>
        <w:rPr>
          <w:rFonts w:ascii="Times New Roman" w:cs="Times New Roman" w:eastAsia="Times New Roman" w:hAnsi="Times New Roman"/>
          <w:sz w:val="18"/>
          <w:szCs w:val="18"/>
          <w:color w:val="auto"/>
        </w:rPr>
        <w:t>. Prompt notice of any material change in the accounting policy of Seller if such change relates to the Receivables or the origination or servicing thereof or the transactions contemplated by the Transaction Documents.</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7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Promptly, from time to time, such Records or other information, documents, records or reports respecting the condition or operations, financial or otherwise, of Seller, any Originator, Performance Guarantor, New Mylan or MPI as Agent or any Purchaser Agent may from time to time reasonably request in order to protect the interests of any LOC Issuer, Agent or any Purchaser under or as contemplated by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 shall not be required to deliver any information that Seller reasonably determines that the delivery of such information (or the provision of written documents in respect thereof) will violate or result in the waiver of an applicable attorney-client privilege, but the foregoing will not limit the Seller’s obligation to provide the Records as well as payment information with respect to each Pool Receivable to each Purchaser, Purchaser Agent, each LOC Issuer, the Agent and their respective agents or representatives.</w:t>
      </w:r>
    </w:p>
    <w:p>
      <w:pPr>
        <w:spacing w:after="0" w:line="185" w:lineRule="exact"/>
        <w:rPr>
          <w:rFonts w:ascii="Times New Roman" w:cs="Times New Roman" w:eastAsia="Times New Roman" w:hAnsi="Times New Roman"/>
          <w:sz w:val="18"/>
          <w:szCs w:val="18"/>
          <w:color w:val="auto"/>
        </w:rPr>
      </w:pPr>
    </w:p>
    <w:p>
      <w:pPr>
        <w:ind w:left="1740" w:hanging="435"/>
        <w:spacing w:after="0"/>
        <w:tabs>
          <w:tab w:leader="none" w:pos="17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Under Sale Agreement</w:t>
      </w:r>
      <w:r>
        <w:rPr>
          <w:rFonts w:ascii="Times New Roman" w:cs="Times New Roman" w:eastAsia="Times New Roman" w:hAnsi="Times New Roman"/>
          <w:sz w:val="18"/>
          <w:szCs w:val="18"/>
          <w:color w:val="auto"/>
        </w:rPr>
        <w:t>. A copy of each notice received by Seller from Originator pursuant to any provision of the Sale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1658"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Agreed Upon Procedures</w:t>
      </w:r>
      <w:r>
        <w:rPr>
          <w:rFonts w:ascii="Times New Roman" w:cs="Times New Roman" w:eastAsia="Times New Roman" w:hAnsi="Times New Roman"/>
          <w:sz w:val="18"/>
          <w:szCs w:val="18"/>
          <w:color w:val="auto"/>
        </w:rPr>
        <w:t xml:space="preserve">. In addition, Seller shall reasonably cooperate with Servicer and the designated accountants or consultants for each annual agreed upon procedures report required pursuant to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u w:val="single" w:color="auto"/>
          <w:color w:val="auto"/>
        </w:rPr>
        <w:t>Negative Covenants of Seller</w:t>
      </w:r>
      <w:r>
        <w:rPr>
          <w:rFonts w:ascii="Times New Roman" w:cs="Times New Roman" w:eastAsia="Times New Roman" w:hAnsi="Times New Roman"/>
          <w:sz w:val="18"/>
          <w:szCs w:val="18"/>
          <w:color w:val="auto"/>
        </w:rPr>
        <w:t>. From the date hereof until the Final Payout Date, Seller shall not,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Agent and each Purchaser Agent, do or permit to occur any act or circumstance with which it has covenanted not to do or permit to occur in any Transaction Document to which it is a party in any capacity, or:</w:t>
      </w:r>
    </w:p>
    <w:p>
      <w:pPr>
        <w:spacing w:after="0" w:line="175" w:lineRule="exact"/>
        <w:rPr>
          <w:sz w:val="20"/>
          <w:szCs w:val="20"/>
          <w:color w:val="auto"/>
        </w:rPr>
      </w:pPr>
    </w:p>
    <w:p>
      <w:pPr>
        <w:ind w:left="660" w:firstLine="645"/>
        <w:spacing w:after="0" w:line="282" w:lineRule="auto"/>
        <w:tabs>
          <w:tab w:leader="none" w:pos="1783"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Liens, Etc.</w:t>
      </w:r>
      <w:r>
        <w:rPr>
          <w:rFonts w:ascii="Times New Roman" w:cs="Times New Roman" w:eastAsia="Times New Roman" w:hAnsi="Times New Roman"/>
          <w:sz w:val="18"/>
          <w:szCs w:val="18"/>
          <w:color w:val="auto"/>
        </w:rPr>
        <w:t xml:space="preserve"> Except as otherwise explicitly provided herein or in the Sale Agreement, sell, assign (by operation of Law or otherwise) or otherwise dispose of,</w:t>
      </w:r>
    </w:p>
    <w:p>
      <w:pPr>
        <w:spacing w:after="0" w:line="200" w:lineRule="exact"/>
        <w:rPr>
          <w:sz w:val="20"/>
          <w:szCs w:val="20"/>
          <w:color w:val="auto"/>
        </w:rPr>
      </w:pPr>
    </w:p>
    <w:p>
      <w:pPr>
        <w:spacing w:after="0" w:line="350"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62" w:name="page463"/>
    <w:bookmarkEnd w:id="462"/>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or create or suffer to exist any Lien upon or with respect to, any of its assets (including any Pool Receivable or Related Assets, or any interest therein, or any lock-box account to which any Collections of any of the foregoing are sent, or any right to receive income or proceeds from or in respect of any of the foregoing).</w:t>
      </w:r>
    </w:p>
    <w:p>
      <w:pPr>
        <w:spacing w:after="0" w:line="176" w:lineRule="exact"/>
        <w:rPr>
          <w:sz w:val="20"/>
          <w:szCs w:val="20"/>
          <w:color w:val="auto"/>
        </w:rPr>
      </w:pPr>
    </w:p>
    <w:p>
      <w:pPr>
        <w:jc w:val="both"/>
        <w:ind w:left="4" w:firstLine="645"/>
        <w:spacing w:after="0" w:line="256" w:lineRule="auto"/>
        <w:tabs>
          <w:tab w:leader="none" w:pos="1096"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or Amendment of Receivables</w:t>
      </w:r>
      <w:r>
        <w:rPr>
          <w:rFonts w:ascii="Times New Roman" w:cs="Times New Roman" w:eastAsia="Times New Roman" w:hAnsi="Times New Roman"/>
          <w:sz w:val="18"/>
          <w:szCs w:val="18"/>
          <w:color w:val="auto"/>
        </w:rPr>
        <w:t xml:space="preserve">. Except as otherwise permitted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extend, amend or otherwise modify the terms of any Pool Receivable or amend, modify or waive any term or condition of any related Contract in any respect that would or could reasonably be expected to, individually or in the aggregate, materially adversely affect the payment (including the timing thereof), the value, the validity, the collectability, or the enforceability of, or the exercise of any rights with respect to the related Pool Receivables by it or Agent or otherwise, that would or could reasonably be expected to have, individually or in the aggregate, a Material Adverse Effect, in each case unless no Event of Default has occurred and a Deemed Collection payment in respect of the related Pool Receivable is made, in full, in connection therewith.</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55" w:lineRule="auto"/>
        <w:tabs>
          <w:tab w:leader="none" w:pos="1045"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Business, Organizational Documents or Transaction Documents</w:t>
      </w:r>
      <w:r>
        <w:rPr>
          <w:rFonts w:ascii="Times New Roman" w:cs="Times New Roman" w:eastAsia="Times New Roman" w:hAnsi="Times New Roman"/>
          <w:sz w:val="18"/>
          <w:szCs w:val="18"/>
          <w:color w:val="auto"/>
        </w:rPr>
        <w:t>. (i) Make or consent to any change in the Credit and Collection Policies that could materially impair the value, validity, collectability or enforceability of, or increase the days-to-pay, Dilution or Contractual Dilution in excess of the Adjusted Contractual Dilution Estimate at such time with respect to, any Pool Receivable or otherwise make any material change thereto without the prior written consent of Agent and each Purchaser Agent, (ii) make a change or changes in the character of its business or amend or otherwise modify its limited liability company agreement or certificate of formation without the prior written consent of Agent and each Purchaser Agent, such consent not to be unreasonably withheld or delayed or (iii) amend any other Transaction Document to which the Seller is a party without the prior written consent of the Agent and each Purchaser Agent.</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55" w:lineRule="auto"/>
        <w:tabs>
          <w:tab w:leader="none" w:pos="1042"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Lock-Box Banks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7.4(g)</w:t>
      </w:r>
      <w:r>
        <w:rPr>
          <w:rFonts w:ascii="Times New Roman" w:cs="Times New Roman" w:eastAsia="Times New Roman" w:hAnsi="Times New Roman"/>
          <w:sz w:val="18"/>
          <w:szCs w:val="18"/>
          <w:color w:val="auto"/>
        </w:rPr>
        <w:t xml:space="preserve">, deposit or otherwise credit, or cause or permit to be so deposited or credited, or direct any Obligor to deposit or remit, any Collections or proceeds thereof (other than as remitted to Seller pursuant to </w:t>
      </w:r>
      <w:r>
        <w:rPr>
          <w:rFonts w:ascii="Times New Roman" w:cs="Times New Roman" w:eastAsia="Times New Roman" w:hAnsi="Times New Roman"/>
          <w:sz w:val="18"/>
          <w:szCs w:val="18"/>
          <w:u w:val="single" w:color="auto"/>
          <w:color w:val="auto"/>
        </w:rPr>
        <w:t>Section 1.3(a)(iii)</w:t>
      </w:r>
      <w:r>
        <w:rPr>
          <w:rFonts w:ascii="Times New Roman" w:cs="Times New Roman" w:eastAsia="Times New Roman" w:hAnsi="Times New Roman"/>
          <w:sz w:val="18"/>
          <w:szCs w:val="18"/>
          <w:color w:val="auto"/>
        </w:rPr>
        <w:t xml:space="preserve"> hereof) in any account other than a lock-box account (or related lock-box, if applicable) covered by a Lock-Box Agreement at any Lock-Box Bank other than those banks listed in </w:t>
      </w:r>
      <w:r>
        <w:rPr>
          <w:rFonts w:ascii="Times New Roman" w:cs="Times New Roman" w:eastAsia="Times New Roman" w:hAnsi="Times New Roman"/>
          <w:sz w:val="18"/>
          <w:szCs w:val="18"/>
          <w:u w:val="single" w:color="auto"/>
          <w:color w:val="auto"/>
        </w:rPr>
        <w:t>Schedule 6.1(m)</w:t>
      </w:r>
      <w:r>
        <w:rPr>
          <w:rFonts w:ascii="Times New Roman" w:cs="Times New Roman" w:eastAsia="Times New Roman" w:hAnsi="Times New Roman"/>
          <w:sz w:val="18"/>
          <w:szCs w:val="18"/>
          <w:color w:val="auto"/>
        </w:rPr>
        <w:t xml:space="preserve">, unless Agent shall have previously received duly executed copies of all Lock-Box Agreements with each such new Lock-Box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Lock-Box Bank may not be terminated unless the payments from Obligors that are being sent to such Lock-Box Bank will, upon termination of such Lock-Box Bank and at all times thereafter, be deposited in a lock-box account with another Lock-Box Bank covered by a Lock-Box Agreement.</w:t>
      </w:r>
    </w:p>
    <w:p>
      <w:pPr>
        <w:spacing w:after="0" w:line="189" w:lineRule="exact"/>
        <w:rPr>
          <w:rFonts w:ascii="Times New Roman" w:cs="Times New Roman" w:eastAsia="Times New Roman" w:hAnsi="Times New Roman"/>
          <w:sz w:val="18"/>
          <w:szCs w:val="18"/>
          <w:color w:val="auto"/>
        </w:rPr>
      </w:pPr>
    </w:p>
    <w:p>
      <w:pPr>
        <w:ind w:left="1084" w:hanging="435"/>
        <w:spacing w:after="0"/>
        <w:tabs>
          <w:tab w:leader="none" w:pos="108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Change, Mergers, Acquisitions, Sales, etc.</w:t>
      </w:r>
      <w:r>
        <w:rPr>
          <w:rFonts w:ascii="Times New Roman" w:cs="Times New Roman" w:eastAsia="Times New Roman" w:hAnsi="Times New Roman"/>
          <w:sz w:val="18"/>
          <w:szCs w:val="18"/>
          <w:color w:val="auto"/>
        </w:rPr>
        <w:t xml:space="preserve"> (i) Change its name without prompt notice thereafter, and in any event within ten</w:t>
      </w:r>
    </w:p>
    <w:p>
      <w:pPr>
        <w:spacing w:after="0" w:line="27"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72"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to Agent and each Purchaser Agent, (ii) be a party to any merger or consolidation, or purchase or otherwise acquire all or substantially all of the assets or any stock of any class of, or any partnership or joint venture interest in, any other Person, or, except in the ordinary course of its business, sell, transfer, convey, contribute or lease all or any</w:t>
      </w:r>
    </w:p>
    <w:p>
      <w:pPr>
        <w:spacing w:after="0" w:line="200" w:lineRule="exact"/>
        <w:rPr>
          <w:sz w:val="20"/>
          <w:szCs w:val="20"/>
          <w:color w:val="auto"/>
        </w:rPr>
      </w:pPr>
    </w:p>
    <w:p>
      <w:pPr>
        <w:spacing w:after="0" w:line="375"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63" w:name="page464"/>
    <w:bookmarkEnd w:id="463"/>
    <w:p>
      <w:pPr>
        <w:spacing w:after="0" w:line="282" w:lineRule="auto"/>
        <w:rPr>
          <w:sz w:val="20"/>
          <w:szCs w:val="20"/>
          <w:color w:val="auto"/>
        </w:rPr>
      </w:pPr>
      <w:r>
        <w:rPr>
          <w:rFonts w:ascii="Times New Roman" w:cs="Times New Roman" w:eastAsia="Times New Roman" w:hAnsi="Times New Roman"/>
          <w:sz w:val="18"/>
          <w:szCs w:val="18"/>
          <w:color w:val="auto"/>
        </w:rPr>
        <w:t>substantial part of its assets, or sell or assign with or without recourse any Receivables or any interest therein (other than pursuant hereto and to the Sale Agreement) to any Person or (iii) have any Subsidiaries.</w:t>
      </w:r>
    </w:p>
    <w:p>
      <w:pPr>
        <w:spacing w:after="0" w:line="162" w:lineRule="exact"/>
        <w:rPr>
          <w:sz w:val="20"/>
          <w:szCs w:val="20"/>
          <w:color w:val="auto"/>
        </w:rPr>
      </w:pPr>
    </w:p>
    <w:p>
      <w:pPr>
        <w:jc w:val="both"/>
        <w:ind w:firstLine="645"/>
        <w:spacing w:after="0" w:line="261" w:lineRule="auto"/>
        <w:tabs>
          <w:tab w:leader="none" w:pos="102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and Business Activity</w:t>
      </w:r>
      <w:r>
        <w:rPr>
          <w:rFonts w:ascii="Times New Roman" w:cs="Times New Roman" w:eastAsia="Times New Roman" w:hAnsi="Times New Roman"/>
          <w:sz w:val="18"/>
          <w:szCs w:val="18"/>
          <w:color w:val="auto"/>
        </w:rPr>
        <w:t>. Except for any Permitted Debt, incur, assume, guarantee or otherwise become directly or indirectly liable for or in respect of any Debt or other obligation, purchase any asset (or make any investment by share purchase loan or otherwise) or engage in any other activity (whether or not pursued for gain or other pecuniary advantage), in any case, other than as will occur in accordance with this Agreement or the other Transaction Documents and as is permitted by its certificate of formation and limited liability company agreement.</w:t>
      </w:r>
    </w:p>
    <w:p>
      <w:pPr>
        <w:spacing w:after="0" w:line="180" w:lineRule="exact"/>
        <w:rPr>
          <w:rFonts w:ascii="Times New Roman" w:cs="Times New Roman" w:eastAsia="Times New Roman" w:hAnsi="Times New Roman"/>
          <w:sz w:val="18"/>
          <w:szCs w:val="18"/>
          <w:color w:val="auto"/>
        </w:rPr>
      </w:pPr>
    </w:p>
    <w:p>
      <w:pPr>
        <w:jc w:val="both"/>
        <w:ind w:firstLine="645"/>
        <w:spacing w:after="0" w:line="255" w:lineRule="auto"/>
        <w:tabs>
          <w:tab w:leader="none" w:pos="110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Organization, Etc.</w:t>
      </w:r>
      <w:r>
        <w:rPr>
          <w:rFonts w:ascii="Times New Roman" w:cs="Times New Roman" w:eastAsia="Times New Roman" w:hAnsi="Times New Roman"/>
          <w:sz w:val="18"/>
          <w:szCs w:val="18"/>
          <w:color w:val="auto"/>
        </w:rPr>
        <w:t xml:space="preserve"> Change its jurisdiction of organization or its name, identity or corporate structure or make any other change such that any financing statement filed or other action taken to perfect Agent’s interests under this Agreement would become seriously misleading or would otherwise be rendered ineffective, unless Seller shall have given Agent and each Purchaser Agent not less than thirty (30) days’ prior written notice of such change and shall have cured such circumstances. Seller shall not amend or otherwise modify or waive its limited liability company agreement or any of its other organizational documents or any provision thereof without the prior written consent of Agent and each Purchaser Agent, such consent not to be unreasonably withheld or delayed. Seller shall at all times maintain its jurisdiction of organization and its chief executive office within a jurisdiction in the United States of America in which Article Nine of the UCC (2001 or later revision) is in effect.</w:t>
      </w:r>
    </w:p>
    <w:p>
      <w:pPr>
        <w:spacing w:after="0" w:line="189" w:lineRule="exact"/>
        <w:rPr>
          <w:rFonts w:ascii="Times New Roman" w:cs="Times New Roman" w:eastAsia="Times New Roman" w:hAnsi="Times New Roman"/>
          <w:sz w:val="18"/>
          <w:szCs w:val="18"/>
          <w:color w:val="auto"/>
        </w:rPr>
      </w:pPr>
    </w:p>
    <w:p>
      <w:pPr>
        <w:jc w:val="both"/>
        <w:ind w:firstLine="645"/>
        <w:spacing w:after="0" w:line="254" w:lineRule="auto"/>
        <w:tabs>
          <w:tab w:leader="none" w:pos="105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Impairing Quality of Title</w:t>
      </w:r>
      <w:r>
        <w:rPr>
          <w:rFonts w:ascii="Times New Roman" w:cs="Times New Roman" w:eastAsia="Times New Roman" w:hAnsi="Times New Roman"/>
          <w:sz w:val="18"/>
          <w:szCs w:val="18"/>
          <w:color w:val="auto"/>
        </w:rPr>
        <w:t>. Take any action that could cause any Pool Receivable, together with the Related Assets, not to be owned by it free and clear of any Lien (other than any Lien arising under any Transaction Document or solely as the result of any action taken by any Purchaser (or any assignee thereof) or by Agent); or take any action that could cause Agent not to have a valid and perfected ownership or first priority perfected security interest in the Asset Interest (including each Related Asset) and each lock-box account of Seller at a Lock-Box Bank, all amounts on deposit therein and all products and proceeds of the foregoing, free and clear of any Lien (other than any Lien arising under any Transaction Document or solely as the result of any action taken by any Purchaser (or any assignee thereof) or by Agent); or suffer the existence of any financing statement or other instrument similar in effect covering any Pool Receivable or any Related Asset on file in any recording office except such as may be filed (i) in favor of Originator or Seller in accordance with the Contracts or any Transaction Document or (ii) in favor of a Purchaser or Agent in accordance with this Agreement or any Transaction Document or in connection with any Lien arising solely as the result of any action taken by any Purchaser (or any assignee thereof) or by Agent.</w:t>
      </w:r>
    </w:p>
    <w:p>
      <w:pPr>
        <w:spacing w:after="0" w:line="186" w:lineRule="exact"/>
        <w:rPr>
          <w:rFonts w:ascii="Times New Roman" w:cs="Times New Roman" w:eastAsia="Times New Roman" w:hAnsi="Times New Roman"/>
          <w:sz w:val="18"/>
          <w:szCs w:val="18"/>
          <w:color w:val="auto"/>
        </w:rPr>
      </w:pPr>
    </w:p>
    <w:p>
      <w:pPr>
        <w:ind w:firstLine="645"/>
        <w:spacing w:after="0" w:line="282" w:lineRule="auto"/>
        <w:tabs>
          <w:tab w:leader="none" w:pos="101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Worth</w:t>
      </w:r>
      <w:r>
        <w:rPr>
          <w:rFonts w:ascii="Times New Roman" w:cs="Times New Roman" w:eastAsia="Times New Roman" w:hAnsi="Times New Roman"/>
          <w:sz w:val="18"/>
          <w:szCs w:val="18"/>
          <w:color w:val="auto"/>
        </w:rPr>
        <w:t>. Seller will not permit its net worth (as calculated in accordance with generally accepted accounting principles consistently applied), at any time, to be less than an amount equal to 2.0% of the Purchasers’ Total Commitment at such time.</w:t>
      </w:r>
    </w:p>
    <w:p>
      <w:pPr>
        <w:spacing w:after="0" w:line="200" w:lineRule="exact"/>
        <w:rPr>
          <w:sz w:val="20"/>
          <w:szCs w:val="20"/>
          <w:color w:val="auto"/>
        </w:rPr>
      </w:pPr>
    </w:p>
    <w:p>
      <w:pPr>
        <w:spacing w:after="0" w:line="350"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64" w:name="page465"/>
    <w:bookmarkEnd w:id="464"/>
    <w:p>
      <w:pPr>
        <w:jc w:val="both"/>
        <w:ind w:left="660" w:firstLine="645"/>
        <w:spacing w:after="0" w:line="261" w:lineRule="auto"/>
        <w:tabs>
          <w:tab w:leader="none" w:pos="172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Originator</w:t>
      </w:r>
      <w:r>
        <w:rPr>
          <w:rFonts w:ascii="Times New Roman" w:cs="Times New Roman" w:eastAsia="Times New Roman" w:hAnsi="Times New Roman"/>
          <w:sz w:val="18"/>
          <w:szCs w:val="18"/>
          <w:color w:val="auto"/>
        </w:rPr>
        <w:t xml:space="preserve">. Notwithstanding anything to the contrary set forth in the Sale Agreement, Seller will not consent to (i) any change or removal of any notation required to be made by Originator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Sale Agreement, or (ii) any waiver of or departure from any term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Sale Agreement, in each case without the prior written consent of Agent and each Purchaser Agent.</w:t>
      </w:r>
    </w:p>
    <w:p>
      <w:pPr>
        <w:spacing w:after="0" w:line="176"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7.4</w:t>
      </w:r>
      <w:r>
        <w:rPr>
          <w:sz w:val="20"/>
          <w:szCs w:val="20"/>
          <w:color w:val="auto"/>
        </w:rPr>
        <w:tab/>
      </w:r>
      <w:r>
        <w:rPr>
          <w:rFonts w:ascii="Times New Roman" w:cs="Times New Roman" w:eastAsia="Times New Roman" w:hAnsi="Times New Roman"/>
          <w:sz w:val="18"/>
          <w:szCs w:val="18"/>
          <w:u w:val="single" w:color="auto"/>
          <w:color w:val="auto"/>
        </w:rPr>
        <w:t>Affirmative Covenants of Servicer</w:t>
      </w:r>
      <w:r>
        <w:rPr>
          <w:rFonts w:ascii="Times New Roman" w:cs="Times New Roman" w:eastAsia="Times New Roman" w:hAnsi="Times New Roman"/>
          <w:sz w:val="18"/>
          <w:szCs w:val="18"/>
          <w:color w:val="auto"/>
        </w:rPr>
        <w:t>. From the date hereof until the Final Payout Date, Servicer shall, unless Agent and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Agent shall otherwise consent in writing:</w:t>
      </w:r>
    </w:p>
    <w:p>
      <w:pPr>
        <w:spacing w:after="0" w:line="207" w:lineRule="exact"/>
        <w:rPr>
          <w:sz w:val="20"/>
          <w:szCs w:val="20"/>
          <w:color w:val="auto"/>
        </w:rPr>
      </w:pPr>
    </w:p>
    <w:p>
      <w:pPr>
        <w:jc w:val="both"/>
        <w:ind w:left="660" w:firstLine="645"/>
        <w:spacing w:after="0" w:line="266" w:lineRule="auto"/>
        <w:tabs>
          <w:tab w:leader="none" w:pos="1728"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Comply with all applicable Laws with respect to it, the Pool Receivables, the related Contracts and the servicing and collection thereof except to the extent such non-compliance would not and could not reasonably be expected to have a Material Adverse Effect.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12"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Corporate Existence</w:t>
      </w:r>
      <w:r>
        <w:rPr>
          <w:rFonts w:ascii="Times New Roman" w:cs="Times New Roman" w:eastAsia="Times New Roman" w:hAnsi="Times New Roman"/>
          <w:sz w:val="18"/>
          <w:szCs w:val="18"/>
          <w:color w:val="auto"/>
        </w:rPr>
        <w:t>. Preserve and maintain its corporate existence, rights, franchises and privileges in the jurisdiction of its incorporation, and qualify and remain qualified in good standing as a foreign corporation in each jurisdiction where the failure to preserve and maintain such existence, rights, franchises, privileges and qualification would or could reasonably be expected to have,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2" w:lineRule="auto"/>
        <w:tabs>
          <w:tab w:leader="none" w:pos="181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xml:space="preserve">. (i) From time to time, upon reasonable prior notice and during regular business hours, permit any representatives designated by each Purchaser, Purchaser Agent, each LOC Issuer, the Agent and any of their respective agents or representatives including certified public accountants or other auditors or consultants, on a coordinated basis (A) to examine and make copies of and abstracts from all Records in the possession or under the control of Servicer or its Affiliates or agents, and (B) to visit the offices and properties of Servicer or its agents for the purpose of examining such materials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to discuss matters relating to the Pool Receivables or Servicer’s performance hereunder with any of the officers or employees of Servicer or its Affiliates having knowledge of such matters and (ii) use commercially reasonable efforts to make its independent accountants available to discuss the affairs, finances and condition of the Servicer, all at such reasonable times and as often as reasonably requested and in all cases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subject to applicable Law and the terms of applicable confidentiality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with respect to </w:t>
      </w:r>
      <w:r>
        <w:rPr>
          <w:rFonts w:ascii="Times New Roman" w:cs="Times New Roman" w:eastAsia="Times New Roman" w:hAnsi="Times New Roman"/>
          <w:sz w:val="18"/>
          <w:szCs w:val="18"/>
          <w:u w:val="single" w:color="auto"/>
          <w:color w:val="auto"/>
        </w:rPr>
        <w:t>clauses (i)(B)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neither Servicer nor any of its officers or agents shall be required to discuss any matters that Servicer reasonably determines that the discussion of such matters (or the provision of written documents in respect thereof) will violate or result in the waiver of an applicable attorney-client privilege, but the foregoing will not limit the Servicer’s obligation to provide the Records as well as payment information with respect to each Pool Receivable to each Purchaser, Purchaser Agent, each LOC Issuer, the Agent and their respective agents or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any Purchaser, any Purchaser Agent, each LOC Issuer, Agent and any of their respective agents or representatives including certified public accountants or other auditors or consultants will conduct such requests for visits and inspections through the</w:t>
      </w:r>
    </w:p>
    <w:p>
      <w:pPr>
        <w:spacing w:after="0" w:line="200" w:lineRule="exact"/>
        <w:rPr>
          <w:sz w:val="20"/>
          <w:szCs w:val="20"/>
          <w:color w:val="auto"/>
        </w:rPr>
      </w:pPr>
    </w:p>
    <w:p>
      <w:pPr>
        <w:spacing w:after="0" w:line="386"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65" w:name="page466"/>
    <w:bookmarkEnd w:id="46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Agent and (y) unless an Event of Default has occurred that has not been waived in accordance with the terms of this Agreement, such visits, inspections and discussions shall be limited to two per calendar year and at the costs and expense of the Purchasers;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one such visit, inspection and discussion shall be coordinated with the preparation of the annual agreed upon procedures report required pursuant to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 xml:space="preserve"> and coordinated with any visits, inspections and discussions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and (b) after the occurrence of any Event of Default that has not been waived in accordance with the terms of this Agreement all such activities shall be at the sole costs and expense of the Servicer and no limitation shall be imposed on the number of visits, inspections or discussions. Each Purchaser, each Purchaser Agent, LOC Issuer, Agent and any of their respective agents or representatives including certified public accountants or other auditors or consultants shall provide the Servicer the opportunity to participate in any discussions with the Servicer’s independent accountants.</w:t>
      </w:r>
    </w:p>
    <w:p>
      <w:pPr>
        <w:spacing w:after="0" w:line="185" w:lineRule="exact"/>
        <w:rPr>
          <w:sz w:val="20"/>
          <w:szCs w:val="20"/>
          <w:color w:val="auto"/>
        </w:rPr>
      </w:pPr>
    </w:p>
    <w:p>
      <w:pPr>
        <w:jc w:val="both"/>
        <w:ind w:firstLine="645"/>
        <w:spacing w:after="0" w:line="254" w:lineRule="auto"/>
        <w:tabs>
          <w:tab w:leader="none" w:pos="107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Records and Books of Account; Delivery; Location of Records.</w:t>
      </w:r>
      <w:r>
        <w:rPr>
          <w:rFonts w:ascii="Times New Roman" w:cs="Times New Roman" w:eastAsia="Times New Roman" w:hAnsi="Times New Roman"/>
          <w:sz w:val="18"/>
          <w:szCs w:val="18"/>
          <w:color w:val="auto"/>
        </w:rPr>
        <w:t xml:space="preserve"> Maintain and implement, or cause to be maintained and implemented, administrative and operating procedures (including an ability to recreate records evidencing the Pool Receivables and Related Assets in the event of the destruction of the originals thereof, backing up on at least a daily basis on a separate backup computer from which electronic file copies can be readily produced and distributed to third parties being agreed to suffice for this purpose), and keep and maintain, or cause to be kept and maintained, all documents, books, records and other information necessary or advisable for the collection of all Pool Receivables and Related Assets (including records adequate to permit the daily identification of each new Pool Receivable and all Collections of and adjustments to each existing Pool Receivable received, made or otherwise processed on that day). Upon the request of Agent or any Purchaser Agent, deliver the originals of all Contracts to Agent, together with electronic and other files applicable thereto, and other Records necessary to enforce the related Receivable against the Obligor thereof.</w:t>
      </w:r>
    </w:p>
    <w:p>
      <w:pPr>
        <w:spacing w:after="0" w:line="189" w:lineRule="exact"/>
        <w:rPr>
          <w:sz w:val="20"/>
          <w:szCs w:val="20"/>
          <w:color w:val="auto"/>
        </w:rPr>
      </w:pPr>
    </w:p>
    <w:p>
      <w:pPr>
        <w:jc w:val="both"/>
        <w:ind w:left="80" w:firstLine="675"/>
        <w:spacing w:after="0" w:line="266" w:lineRule="auto"/>
        <w:rPr>
          <w:sz w:val="20"/>
          <w:szCs w:val="20"/>
          <w:color w:val="auto"/>
        </w:rPr>
      </w:pPr>
      <w:r>
        <w:rPr>
          <w:rFonts w:ascii="Times New Roman" w:cs="Times New Roman" w:eastAsia="Times New Roman" w:hAnsi="Times New Roman"/>
          <w:sz w:val="18"/>
          <w:szCs w:val="18"/>
          <w:color w:val="auto"/>
        </w:rPr>
        <w:t xml:space="preserve">In addition, Servicer shall keep its principal place of business and chief executive office at the address(es) of Servicer referred to in </w:t>
      </w:r>
      <w:r>
        <w:rPr>
          <w:rFonts w:ascii="Times New Roman" w:cs="Times New Roman" w:eastAsia="Times New Roman" w:hAnsi="Times New Roman"/>
          <w:sz w:val="18"/>
          <w:szCs w:val="18"/>
          <w:u w:val="single" w:color="auto"/>
          <w:color w:val="auto"/>
        </w:rPr>
        <w:t>Schedule 13.2</w:t>
      </w:r>
      <w:r>
        <w:rPr>
          <w:rFonts w:ascii="Times New Roman" w:cs="Times New Roman" w:eastAsia="Times New Roman" w:hAnsi="Times New Roman"/>
          <w:sz w:val="18"/>
          <w:szCs w:val="18"/>
          <w:color w:val="auto"/>
        </w:rPr>
        <w:t xml:space="preserve"> or at such other address(es) of Servicer as set forth in the Sale Agreement or, upon thirty (30) days’ prior written notice to Agent and each Purchaser Agent, at such other locations in jurisdictions where all action required by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hereof shall have been taken and completed.</w:t>
      </w:r>
    </w:p>
    <w:p>
      <w:pPr>
        <w:spacing w:after="0" w:line="176" w:lineRule="exact"/>
        <w:rPr>
          <w:sz w:val="20"/>
          <w:szCs w:val="20"/>
          <w:color w:val="auto"/>
        </w:rPr>
      </w:pPr>
    </w:p>
    <w:p>
      <w:pPr>
        <w:jc w:val="both"/>
        <w:ind w:firstLine="645"/>
        <w:spacing w:after="0" w:line="261" w:lineRule="auto"/>
        <w:tabs>
          <w:tab w:leader="none" w:pos="1055"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and Compliance with Receivables and Contracts</w:t>
      </w:r>
      <w:r>
        <w:rPr>
          <w:rFonts w:ascii="Times New Roman" w:cs="Times New Roman" w:eastAsia="Times New Roman" w:hAnsi="Times New Roman"/>
          <w:sz w:val="18"/>
          <w:szCs w:val="18"/>
          <w:color w:val="auto"/>
        </w:rPr>
        <w:t xml:space="preserve">. At its expense, timely and fully perform and comply with all material provisions, covenants and other promises required to be observed by it under the Contracts and the Pool Receivables, unless, with respect to a Pool Receivable, Originator or Servicer makes a Deemed Collection payment in respect of the entire Unpaid Balance thereof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of the Sale Agreement.</w:t>
      </w:r>
    </w:p>
    <w:p>
      <w:pPr>
        <w:spacing w:after="0" w:line="180" w:lineRule="exact"/>
        <w:rPr>
          <w:rFonts w:ascii="Times New Roman" w:cs="Times New Roman" w:eastAsia="Times New Roman" w:hAnsi="Times New Roman"/>
          <w:sz w:val="18"/>
          <w:szCs w:val="18"/>
          <w:color w:val="auto"/>
        </w:rPr>
      </w:pPr>
    </w:p>
    <w:p>
      <w:pPr>
        <w:ind w:firstLine="645"/>
        <w:spacing w:after="0" w:line="282" w:lineRule="auto"/>
        <w:tabs>
          <w:tab w:leader="none" w:pos="1022"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w:t>
      </w:r>
      <w:r>
        <w:rPr>
          <w:rFonts w:ascii="Times New Roman" w:cs="Times New Roman" w:eastAsia="Times New Roman" w:hAnsi="Times New Roman"/>
          <w:sz w:val="18"/>
          <w:szCs w:val="18"/>
          <w:color w:val="auto"/>
        </w:rPr>
        <w:t>. Comply in all material respects with the applicable Credit and Collection Policy in regard to each Pool Receivable and Related Security, the related Contract and the other Related Assets and the servicing and collection thereof.</w:t>
      </w:r>
    </w:p>
    <w:p>
      <w:pPr>
        <w:spacing w:after="0" w:line="200" w:lineRule="exact"/>
        <w:rPr>
          <w:sz w:val="20"/>
          <w:szCs w:val="20"/>
          <w:color w:val="auto"/>
        </w:rPr>
      </w:pPr>
    </w:p>
    <w:p>
      <w:pPr>
        <w:spacing w:after="0" w:line="350"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66" w:name="page467"/>
    <w:bookmarkEnd w:id="466"/>
    <w:p>
      <w:pPr>
        <w:jc w:val="both"/>
        <w:ind w:left="660" w:firstLine="645"/>
        <w:spacing w:after="0" w:line="258" w:lineRule="auto"/>
        <w:tabs>
          <w:tab w:leader="none" w:pos="169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(i) Instruct all Obligors to cause all Collections of Pool Receivables to be deposited directly with a Lock-Box Bank. In the event Servicer or any of its Affiliates receives any Collections, such Person will deposit such Collections with a Lock-Box Bank the earlier of (A) within four (4) Business Days of such receipt and (B) within two (2) Business Days of identification thereof as Collections and (ii) in the event a Lock-Box Agreement is terminated, direct the applicable Lock-Box Bank to direct payments received into the applicable lock-box or amounts deposited into the applicable lock-box account, as directed by the Agent.</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93"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Without limiting any of Servicer’s covenants or agreements set forth herein or in any other Transaction Document, so long as Servicer is Originator, comply in all material respects with each and every of its covenants and agreements as Originator under each Transaction Document to which it is a party in any capacity, each of which (together with the related definitions and ancillary provisions) is hereby incorporated herein by reference for the benefit of Purchasers and Agent.</w:t>
      </w:r>
    </w:p>
    <w:p>
      <w:pPr>
        <w:spacing w:after="0" w:line="180"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 of Billing</w:t>
      </w:r>
      <w:r>
        <w:rPr>
          <w:rFonts w:ascii="Times New Roman" w:cs="Times New Roman" w:eastAsia="Times New Roman" w:hAnsi="Times New Roman"/>
          <w:sz w:val="18"/>
          <w:szCs w:val="18"/>
          <w:color w:val="auto"/>
        </w:rPr>
        <w:t>. Prepare and deliver invoices with respect to all Receivables in accordance with the Credit and Collection Policies, but in any event no less frequently than monthly.</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u w:val="single" w:color="auto"/>
          <w:color w:val="auto"/>
        </w:rPr>
        <w:t>Reporting Requirements of MPI, Individually and as Servicer</w:t>
      </w:r>
      <w:r>
        <w:rPr>
          <w:rFonts w:ascii="Times New Roman" w:cs="Times New Roman" w:eastAsia="Times New Roman" w:hAnsi="Times New Roman"/>
          <w:sz w:val="18"/>
          <w:szCs w:val="18"/>
          <w:color w:val="auto"/>
        </w:rPr>
        <w:t>. From the date hereof until the Final Payout Date, Servicer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to Agent and each Purchaser Agent, unless Agent and each Purchaser Agent shall otherwise consent in writing, each of the following:</w:t>
      </w:r>
    </w:p>
    <w:p>
      <w:pPr>
        <w:spacing w:after="0" w:line="159" w:lineRule="exact"/>
        <w:rPr>
          <w:sz w:val="20"/>
          <w:szCs w:val="20"/>
          <w:color w:val="auto"/>
        </w:rPr>
      </w:pPr>
    </w:p>
    <w:p>
      <w:pPr>
        <w:jc w:val="both"/>
        <w:ind w:left="660" w:firstLine="645"/>
        <w:spacing w:after="0" w:line="255" w:lineRule="auto"/>
        <w:tabs>
          <w:tab w:leader="none" w:pos="168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and in any event within forty-five (45) days after the end of each of the first three (3) quarterly periods of each of its fiscal years, the unaudited consolidated balance sheet of Performance Guarantor (or following the consummation of the Specified Acquisition Transaction, New Mylan) and its consolidated Subsidiaries (including Servicer and following the consummation of the Specified Acquisition Transaction, Performance Guarantor) as at the close of each such period and related statements of income and cash flows for Performance Guarantor (or following the consummation of the Specified Acquisition Transaction, New Mylan) and its consolidated Subsidiaries, in conformity with generally accepted accounting principles subject to normal year-end audit adjustments and the absence of footnotes, for the period from the beginning of such fiscal year to the end of such quarterly period, all certified by a financial officer.</w:t>
      </w:r>
    </w:p>
    <w:p>
      <w:pPr>
        <w:spacing w:after="0" w:line="189" w:lineRule="exact"/>
        <w:rPr>
          <w:rFonts w:ascii="Times New Roman" w:cs="Times New Roman" w:eastAsia="Times New Roman" w:hAnsi="Times New Roman"/>
          <w:sz w:val="18"/>
          <w:szCs w:val="18"/>
          <w:color w:val="auto"/>
        </w:rPr>
      </w:pPr>
    </w:p>
    <w:p>
      <w:pPr>
        <w:ind w:left="1300" w:right="20" w:firstLine="545"/>
        <w:spacing w:after="0" w:line="282" w:lineRule="auto"/>
        <w:tabs>
          <w:tab w:leader="none" w:pos="2285"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available and in any event within ninety (90) days after the end of each fiscal year of each of Performance Guarantor (or following the consummation of the Specified Acquisition</w:t>
      </w:r>
    </w:p>
    <w:p>
      <w:pPr>
        <w:spacing w:after="0" w:line="200" w:lineRule="exact"/>
        <w:rPr>
          <w:sz w:val="20"/>
          <w:szCs w:val="20"/>
          <w:color w:val="auto"/>
        </w:rPr>
      </w:pPr>
    </w:p>
    <w:p>
      <w:pPr>
        <w:spacing w:after="0" w:line="350"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67" w:name="page468"/>
    <w:bookmarkEnd w:id="467"/>
    <w:p>
      <w:pPr>
        <w:jc w:val="both"/>
        <w:ind w:left="100"/>
        <w:spacing w:after="0" w:line="255" w:lineRule="auto"/>
        <w:rPr>
          <w:sz w:val="20"/>
          <w:szCs w:val="20"/>
          <w:color w:val="auto"/>
        </w:rPr>
      </w:pPr>
      <w:r>
        <w:rPr>
          <w:rFonts w:ascii="Times New Roman" w:cs="Times New Roman" w:eastAsia="Times New Roman" w:hAnsi="Times New Roman"/>
          <w:sz w:val="18"/>
          <w:szCs w:val="18"/>
          <w:color w:val="auto"/>
        </w:rPr>
        <w:t>Transaction, New Mylan) and its consolidated subsidiaries, copies of the audited, consolidated financial statements (which shall include balance sheets, statements of cash flows, operations, and stockholders equity) of Performance Guarantor (or following the consummation of the Specified Acquisition Transaction, New Mylan) and its consolidated Subsidiaries (including Servicer and following the consummation of the Specified Acquisition Transaction, Performance Guarantor) in conformity with generally accepted accounting principles, duly certified by Deloitte LLP or another nationally recognized firm of independent certified public accountants reasonably acceptable to Agent and each Purchaser Agent, with respect to such fiscal year (without a “going-concern” or like qualification or exception and without any qualification or exception as to the scope of such audit).</w:t>
      </w:r>
    </w:p>
    <w:p>
      <w:pPr>
        <w:spacing w:after="0" w:line="189" w:lineRule="exact"/>
        <w:rPr>
          <w:sz w:val="20"/>
          <w:szCs w:val="20"/>
          <w:color w:val="auto"/>
        </w:rPr>
      </w:pPr>
    </w:p>
    <w:p>
      <w:pPr>
        <w:jc w:val="both"/>
        <w:ind w:left="100" w:firstLine="545"/>
        <w:spacing w:after="0" w:line="266" w:lineRule="auto"/>
        <w:tabs>
          <w:tab w:leader="none" w:pos="1144"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Together with the financial statements required hereunder, a compliance certificate in substantially the form of </w:t>
      </w:r>
      <w:r>
        <w:rPr>
          <w:rFonts w:ascii="Times New Roman" w:cs="Times New Roman" w:eastAsia="Times New Roman" w:hAnsi="Times New Roman"/>
          <w:sz w:val="18"/>
          <w:szCs w:val="18"/>
          <w:u w:val="single" w:color="auto"/>
          <w:color w:val="auto"/>
        </w:rPr>
        <w:t>Exhibit 7.5(a)(iii)</w:t>
      </w:r>
      <w:r>
        <w:rPr>
          <w:rFonts w:ascii="Times New Roman" w:cs="Times New Roman" w:eastAsia="Times New Roman" w:hAnsi="Times New Roman"/>
          <w:sz w:val="18"/>
          <w:szCs w:val="18"/>
          <w:color w:val="auto"/>
        </w:rPr>
        <w:t xml:space="preserve"> signed by an authorized officer of Servicer and dated the date of such annual financial statement or such quarterly financial statement, as the case may be.</w:t>
      </w:r>
    </w:p>
    <w:p>
      <w:pPr>
        <w:spacing w:after="0" w:line="176" w:lineRule="exact"/>
        <w:rPr>
          <w:sz w:val="20"/>
          <w:szCs w:val="20"/>
          <w:color w:val="auto"/>
        </w:rPr>
      </w:pPr>
    </w:p>
    <w:p>
      <w:pPr>
        <w:jc w:val="both"/>
        <w:ind w:left="100" w:firstLine="540"/>
        <w:spacing w:after="0" w:line="266" w:lineRule="auto"/>
        <w:rPr>
          <w:sz w:val="20"/>
          <w:szCs w:val="20"/>
          <w:color w:val="auto"/>
        </w:rPr>
      </w:pPr>
      <w:r>
        <w:rPr>
          <w:rFonts w:ascii="Times New Roman" w:cs="Times New Roman" w:eastAsia="Times New Roman" w:hAnsi="Times New Roman"/>
          <w:sz w:val="18"/>
          <w:szCs w:val="18"/>
          <w:color w:val="auto"/>
        </w:rPr>
        <w:t>Financial statements shall be deemed to have been delivered if such statements and information shall have been posted by or on behalf of the Servicer on its website or shall have been posted on IntraLinks or similar site to which all of the Agent and Purchaser Agents have been granted access or are publicly available on the SEC’s website pursuant to the EDGAR system.</w:t>
      </w:r>
    </w:p>
    <w:p>
      <w:pPr>
        <w:spacing w:after="0" w:line="176" w:lineRule="exact"/>
        <w:rPr>
          <w:sz w:val="20"/>
          <w:szCs w:val="20"/>
          <w:color w:val="auto"/>
        </w:rPr>
      </w:pPr>
    </w:p>
    <w:p>
      <w:pPr>
        <w:ind w:left="-540" w:firstLine="645"/>
        <w:spacing w:after="0" w:line="282" w:lineRule="auto"/>
        <w:tabs>
          <w:tab w:leader="none" w:pos="539"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Servicer will furnish to Agent and Agent shall promptly after receipt thereof furnish to each Purchaser Agent:</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103"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becomes publicly available, copies of all proxy statements, financial statements and regular or special reports which Performance Guarantor or New Mylan sends to its stockholders;</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151"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 request therefor, any documentation or other information (including with respect to Originator, Seller or Performance Guarantor) that Agent, any Purchaser Agent, any LOC Issuer or any Purchaser reasonably requests in order to comply with its ongoing obligations under the applicable “know your customer” and anti money laundering rules and regulations, including the USA PATRIOT Act; and</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56" w:lineRule="auto"/>
        <w:tabs>
          <w:tab w:leader="none" w:pos="133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such further information regarding the business, affairs and financial condition of Seller, Servicer, Performance Guarantor, New Mylan, Originator and their respective subsidiaries as Agent or any Purchaser Agent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Servicer shall not be required to deliver any information that Servicer reasonably determines that the delivery of such information (or the provision of written documents in respect thereof) will violate or result in the waiver of an applicable attorney-client privilege, but the foregoing will not limit the Servicer’s obligation to provide the Records as well as payment information with respect to each Pool Receivable to each Purchaser, Purchaser Agent, each LOC Issuer, the Agent and their respective agents or representatives.</w:t>
      </w:r>
    </w:p>
    <w:p>
      <w:pPr>
        <w:spacing w:after="0" w:line="200" w:lineRule="exact"/>
        <w:rPr>
          <w:sz w:val="20"/>
          <w:szCs w:val="20"/>
          <w:color w:val="auto"/>
        </w:rPr>
      </w:pPr>
    </w:p>
    <w:p>
      <w:pPr>
        <w:spacing w:after="0" w:line="376"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68" w:name="page469"/>
    <w:bookmarkEnd w:id="468"/>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set forth in sub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deemed to have been delivered if such statements and information shall have been posted by or on behalf of the Servicer on its website or shall have been posted on IntraLinks or similar site to which all of the Agent and Purchaser Agents have been granted access or are publicly available on the SEC’s website pursuant to the EDGAR system.</w:t>
      </w:r>
    </w:p>
    <w:p>
      <w:pPr>
        <w:spacing w:after="0" w:line="176" w:lineRule="exact"/>
        <w:rPr>
          <w:sz w:val="20"/>
          <w:szCs w:val="20"/>
          <w:color w:val="auto"/>
        </w:rPr>
      </w:pPr>
    </w:p>
    <w:p>
      <w:pPr>
        <w:ind w:left="4" w:firstLine="645"/>
        <w:spacing w:after="0" w:line="282" w:lineRule="auto"/>
        <w:tabs>
          <w:tab w:leader="none" w:pos="1072"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Written notice of any ERISA Event that MPI becomes aware of, the occurrence of which, alone or together with any other ERISA Event that has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8" w:lineRule="auto"/>
        <w:tabs>
          <w:tab w:leader="none" w:pos="1055"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Prompt notice of its knowledge of the occurrence of each Event of Default, each Unmatured Event of Default, any failure by Performance Guarantor or New Mylan (as applicable) to comply with the Financial Covenants set forth in any Credit Agreement and any draw on a Letter of Credit, accompanied by a written statement of an appropriate officer of Servicer setting forth details of such event and the action that it proposes to take with respect thereto, such notice to be provided as soon as possible, and in any event within five (5) Business Days after it obtains knowledge of any such event.</w:t>
      </w:r>
    </w:p>
    <w:p>
      <w:pPr>
        <w:spacing w:after="0" w:line="183" w:lineRule="exact"/>
        <w:rPr>
          <w:rFonts w:ascii="Times New Roman" w:cs="Times New Roman" w:eastAsia="Times New Roman" w:hAnsi="Times New Roman"/>
          <w:sz w:val="18"/>
          <w:szCs w:val="18"/>
          <w:color w:val="auto"/>
        </w:rPr>
      </w:pPr>
    </w:p>
    <w:p>
      <w:pPr>
        <w:jc w:val="both"/>
        <w:ind w:left="4" w:firstLine="645"/>
        <w:spacing w:after="0" w:line="254" w:lineRule="auto"/>
        <w:tabs>
          <w:tab w:leader="none" w:pos="1045"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soon as possible, and in any event within five (5) Business Days of a Primary Officer of Servicer obtaining knowledge thereof, notice of (a) any action, suit or proceeding by or before any arbiter or Governmental Authority initiated against (i) Originator, Performance Guarantor or Servicer which may exist at any time which has had or could reasonably be expected to have, individually or in the aggregate, a Material Adverse Effect and would prevent it in any material respect from conducting its business operations relating to the Receivables, its servicing of the Receivables or the performance of its duties and obligations hereunder or under the other Transaction Documents or (ii) Seller and</w:t>
      </w:r>
    </w:p>
    <w:p>
      <w:pPr>
        <w:spacing w:after="0" w:line="3" w:lineRule="exact"/>
        <w:rPr>
          <w:rFonts w:ascii="Times New Roman" w:cs="Times New Roman" w:eastAsia="Times New Roman" w:hAnsi="Times New Roman"/>
          <w:sz w:val="18"/>
          <w:szCs w:val="18"/>
          <w:color w:val="auto"/>
        </w:rPr>
      </w:pPr>
    </w:p>
    <w:p>
      <w:pPr>
        <w:ind w:left="4" w:hanging="4"/>
        <w:spacing w:after="0" w:line="261" w:lineRule="auto"/>
        <w:tabs>
          <w:tab w:leader="none" w:pos="261"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development in previously disclosed action, suit or proceeding which, individually or in the aggregate, is materially adverse in the Servicer’s reasonable determination.</w:t>
      </w:r>
    </w:p>
    <w:p>
      <w:pPr>
        <w:spacing w:after="0" w:line="179" w:lineRule="exact"/>
        <w:rPr>
          <w:rFonts w:ascii="Times New Roman" w:cs="Times New Roman" w:eastAsia="Times New Roman" w:hAnsi="Times New Roman"/>
          <w:sz w:val="18"/>
          <w:szCs w:val="18"/>
          <w:color w:val="auto"/>
        </w:rPr>
      </w:pPr>
    </w:p>
    <w:p>
      <w:pPr>
        <w:jc w:val="both"/>
        <w:ind w:left="4" w:firstLine="645"/>
        <w:spacing w:after="0" w:line="256" w:lineRule="auto"/>
        <w:tabs>
          <w:tab w:leader="none" w:pos="1025"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Agreed Upon Procedures Report</w:t>
      </w:r>
      <w:r>
        <w:rPr>
          <w:rFonts w:ascii="Times New Roman" w:cs="Times New Roman" w:eastAsia="Times New Roman" w:hAnsi="Times New Roman"/>
          <w:sz w:val="18"/>
          <w:szCs w:val="18"/>
          <w:color w:val="auto"/>
        </w:rPr>
        <w:t>. Not later than forty-five (45) days following the Agent’s delivery to the Servicer of a written request therefor (at the sole cost and expense of Servicer), a report of an accounting firm or consulting firm reasonably acceptable to Agent, addressed to Agent with a copy to each Purchaser Agent and setting forth the results of such firm’s performance of agreed upon procedures with respect to the performance of Servicer for the prior fiscal year. The scope of the above agreed upon procedures report shall be as reasonably requested by the Agent or such Purchaser Agent. Notwithstanding the foregoing, so long as no Event of Default has occurred, the Servicer shall not be required to deliver the foregoing agreed upon procedures report more than once in any twelve (12) calendar month period.</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55"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or Business</w:t>
      </w:r>
      <w:r>
        <w:rPr>
          <w:rFonts w:ascii="Times New Roman" w:cs="Times New Roman" w:eastAsia="Times New Roman" w:hAnsi="Times New Roman"/>
          <w:sz w:val="18"/>
          <w:szCs w:val="18"/>
          <w:color w:val="auto"/>
        </w:rPr>
        <w:t>. (i) Prior to its effective date, notice of (a) any material change in the Credit and Collection Policies, and (b) any change in the character of Servicer’s business that has or could reasonably be expected to, individually or the aggregate, materially and adversely affect the ability of</w:t>
      </w:r>
    </w:p>
    <w:p>
      <w:pPr>
        <w:spacing w:after="0" w:line="200" w:lineRule="exact"/>
        <w:rPr>
          <w:sz w:val="20"/>
          <w:szCs w:val="20"/>
          <w:color w:val="auto"/>
        </w:rPr>
      </w:pPr>
    </w:p>
    <w:p>
      <w:pPr>
        <w:spacing w:after="0" w:line="365"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69" w:name="page470"/>
    <w:bookmarkEnd w:id="469"/>
    <w:p>
      <w:pPr>
        <w:jc w:val="both"/>
        <w:spacing w:after="0" w:line="266" w:lineRule="auto"/>
        <w:rPr>
          <w:sz w:val="20"/>
          <w:szCs w:val="20"/>
          <w:color w:val="auto"/>
        </w:rPr>
      </w:pPr>
      <w:r>
        <w:rPr>
          <w:rFonts w:ascii="Times New Roman" w:cs="Times New Roman" w:eastAsia="Times New Roman" w:hAnsi="Times New Roman"/>
          <w:sz w:val="18"/>
          <w:szCs w:val="18"/>
          <w:color w:val="auto"/>
        </w:rPr>
        <w:t>Servicer to perform its obligations hereunder or otherwise have a Material Adverse Effect or would prevent it from conducting its business operations relating to the Receivables, its servicing of the Receivables or the performance of its duties and obligations hereunder or under the other Transaction Documents and (ii) within 30 days of each annual anniversary of the Closing Date, a current copy of the Credit and Collection Policies.</w:t>
      </w:r>
    </w:p>
    <w:p>
      <w:pPr>
        <w:spacing w:after="0" w:line="176" w:lineRule="exact"/>
        <w:rPr>
          <w:sz w:val="20"/>
          <w:szCs w:val="20"/>
          <w:color w:val="auto"/>
        </w:rPr>
      </w:pPr>
    </w:p>
    <w:p>
      <w:pPr>
        <w:jc w:val="both"/>
        <w:ind w:firstLine="645"/>
        <w:spacing w:after="0" w:line="266" w:lineRule="auto"/>
        <w:tabs>
          <w:tab w:leader="none" w:pos="1079"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Accounting Policy</w:t>
      </w:r>
      <w:r>
        <w:rPr>
          <w:rFonts w:ascii="Times New Roman" w:cs="Times New Roman" w:eastAsia="Times New Roman" w:hAnsi="Times New Roman"/>
          <w:sz w:val="18"/>
          <w:szCs w:val="18"/>
          <w:color w:val="auto"/>
        </w:rPr>
        <w:t>. Promptly notify Agent and each Purchaser Agent of any material change in the accounting policy of any Originator or Performance Guarantor if such change relates to the Receivables or the origination or servicing thereof or the transactions contemplated by the Transaction Documents.</w:t>
      </w:r>
    </w:p>
    <w:p>
      <w:pPr>
        <w:spacing w:after="0" w:line="176" w:lineRule="exact"/>
        <w:rPr>
          <w:rFonts w:ascii="Times New Roman" w:cs="Times New Roman" w:eastAsia="Times New Roman" w:hAnsi="Times New Roman"/>
          <w:sz w:val="18"/>
          <w:szCs w:val="18"/>
          <w:color w:val="auto"/>
        </w:rPr>
      </w:pPr>
    </w:p>
    <w:p>
      <w:pPr>
        <w:jc w:val="both"/>
        <w:ind w:firstLine="645"/>
        <w:spacing w:after="0" w:line="255" w:lineRule="auto"/>
        <w:tabs>
          <w:tab w:leader="none" w:pos="105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From time to time, such Records or other information, documents, records or reports respecting the condition or operations, financial or otherwise, of Seller, any Originator, Servicer, Performance Guarantor, New Mylan or MPI as Agent or any Purchaser Agent may from time to time request in order to protect the interests of Agent or Purchasers under or as contemplated by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Servicer shall not be required to deliver any information that Servicer reasonably determines that the delivery of such information (or the provision of written documents in respect thereof) will violate or result in the waiver of an applicable attorney-client privilege, but the foregoing will not limit the Seller’s obligation to provide the Records as well as payment information with respect to each Pool Receivable to each Purchaser, Purchaser Agent, each LOC Issuer, the Agent and their respective agents or representatives.</w:t>
      </w:r>
    </w:p>
    <w:p>
      <w:pPr>
        <w:spacing w:after="0" w:line="189" w:lineRule="exact"/>
        <w:rPr>
          <w:rFonts w:ascii="Times New Roman" w:cs="Times New Roman" w:eastAsia="Times New Roman" w:hAnsi="Times New Roman"/>
          <w:sz w:val="18"/>
          <w:szCs w:val="18"/>
          <w:color w:val="auto"/>
        </w:rPr>
      </w:pPr>
    </w:p>
    <w:p>
      <w:pPr>
        <w:jc w:val="both"/>
        <w:ind w:firstLine="645"/>
        <w:spacing w:after="0" w:line="266" w:lineRule="auto"/>
        <w:tabs>
          <w:tab w:leader="none" w:pos="99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 Programs</w:t>
      </w:r>
      <w:r>
        <w:rPr>
          <w:rFonts w:ascii="Times New Roman" w:cs="Times New Roman" w:eastAsia="Times New Roman" w:hAnsi="Times New Roman"/>
          <w:sz w:val="18"/>
          <w:szCs w:val="18"/>
          <w:color w:val="auto"/>
        </w:rPr>
        <w:t>. If Servicer is not MPI (or an Affiliate of MPI) or if any Event of Default has occurred and a license or approval is required for Agent’s or such successor Servicer’s use of any software or other computer program used by MPI in the servicing of the Receivables, then MPI shall at its own expense arrange for Agent or such successor Servicer to receive any such required license or approval.</w:t>
      </w:r>
    </w:p>
    <w:p>
      <w:pPr>
        <w:spacing w:after="0" w:line="176" w:lineRule="exact"/>
        <w:rPr>
          <w:rFonts w:ascii="Times New Roman" w:cs="Times New Roman" w:eastAsia="Times New Roman" w:hAnsi="Times New Roman"/>
          <w:sz w:val="18"/>
          <w:szCs w:val="18"/>
          <w:color w:val="auto"/>
        </w:rPr>
      </w:pPr>
    </w:p>
    <w:p>
      <w:pPr>
        <w:jc w:val="both"/>
        <w:ind w:firstLine="645"/>
        <w:spacing w:after="0" w:line="256" w:lineRule="auto"/>
        <w:tabs>
          <w:tab w:leader="none" w:pos="1052"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Dilution Estimate</w:t>
      </w:r>
      <w:r>
        <w:rPr>
          <w:rFonts w:ascii="Times New Roman" w:cs="Times New Roman" w:eastAsia="Times New Roman" w:hAnsi="Times New Roman"/>
          <w:sz w:val="18"/>
          <w:szCs w:val="18"/>
          <w:color w:val="auto"/>
        </w:rPr>
        <w:t xml:space="preserve">. On or before each Reporting Date, the Servicer shall include in each Information Package delivered to Agent and each Purchaser Agent, the Contractual Dilution Estimate for the then outstanding Pool Receivables and the actual Contractual Dilution for the Settlement Period related to that Reporting Date. The Contractual Dilution Estimate shall be calculated by the Servicer in the ordinary course based on Contractual Dilution expected to occur with respect to the then outstanding Pool Receivables as reasonably determined by the Servicer in accordance with the practices set forth on </w:t>
      </w:r>
      <w:r>
        <w:rPr>
          <w:rFonts w:ascii="Times New Roman" w:cs="Times New Roman" w:eastAsia="Times New Roman" w:hAnsi="Times New Roman"/>
          <w:sz w:val="18"/>
          <w:szCs w:val="18"/>
          <w:u w:val="single" w:color="auto"/>
          <w:color w:val="auto"/>
        </w:rPr>
        <w:t>Exhibit 7.5(k)</w:t>
      </w:r>
      <w:r>
        <w:rPr>
          <w:rFonts w:ascii="Times New Roman" w:cs="Times New Roman" w:eastAsia="Times New Roman" w:hAnsi="Times New Roman"/>
          <w:sz w:val="18"/>
          <w:szCs w:val="18"/>
          <w:color w:val="auto"/>
        </w:rPr>
        <w:t xml:space="preserve"> and the definition of “Contractual Dilution Estimate” and reflected on the books and records of the Servicer in accordance with the customary procedures therefor established by the Servicer and its external accountants.</w:t>
      </w:r>
    </w:p>
    <w:p>
      <w:pPr>
        <w:spacing w:after="0" w:line="187" w:lineRule="exact"/>
        <w:rPr>
          <w:rFonts w:ascii="Times New Roman" w:cs="Times New Roman" w:eastAsia="Times New Roman" w:hAnsi="Times New Roman"/>
          <w:sz w:val="18"/>
          <w:szCs w:val="18"/>
          <w:color w:val="auto"/>
        </w:rPr>
      </w:pPr>
    </w:p>
    <w:p>
      <w:pPr>
        <w:jc w:val="both"/>
        <w:ind w:right="20" w:firstLine="645"/>
        <w:spacing w:after="0" w:line="266" w:lineRule="auto"/>
        <w:tabs>
          <w:tab w:leader="none" w:pos="998"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Adjusted Contractual Dilution Estimate, Etc</w:t>
      </w:r>
      <w:r>
        <w:rPr>
          <w:rFonts w:ascii="Times New Roman" w:cs="Times New Roman" w:eastAsia="Times New Roman" w:hAnsi="Times New Roman"/>
          <w:sz w:val="18"/>
          <w:szCs w:val="18"/>
          <w:color w:val="auto"/>
        </w:rPr>
        <w:t>. On or before each Reporting Date, the Servicer shall include in each Information Package delivered to Agent and each Purchaser Agent, each of (i) the Direct Check Rebate Estimate for the then outstanding Pool Receivables, (ii) the Failure to Supply Check Payment Estimate for the then outstanding Pool Receivables and (iii) the Unmatched Deductions and Unmatched</w:t>
      </w:r>
    </w:p>
    <w:p>
      <w:pPr>
        <w:spacing w:after="0" w:line="200" w:lineRule="exact"/>
        <w:rPr>
          <w:sz w:val="20"/>
          <w:szCs w:val="20"/>
          <w:color w:val="auto"/>
        </w:rPr>
      </w:pPr>
    </w:p>
    <w:p>
      <w:pPr>
        <w:spacing w:after="0" w:line="36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70" w:name="page471"/>
    <w:bookmarkEnd w:id="470"/>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Deductions Unaccrued as of the Cut-Off Date for the related Settlement Period. The Direct Check Rebate Estimate and the Failure to Supply Check Payment Estimate shall be calculated by the Servicer in the ordinary course based on the related amounts expected to occur with respect to the then outstanding Pool Receivables as reasonably determined by the Servicer in accordance with the definitions of “Direct Check Rebate Estimate” and “Failure to Supply Check Payment Estimate” and reflected on the books and records of the Servicer in accordance with the customary procedures therefor established by the Servicer and its external accountants. The Unmatched Deduction shall be calculated by the Servicer in the ordinary course as reasonably determined by the Servicer in accordance with the definition of “Unmatched Deduction”. The Unmatched Deduction Unaccrued shall be calculated by the Servicer in the ordinary course as reasonably determined by the Servicer in accordance with the definition of “Unmatched Deduction Unaccrued”.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u w:val="single" w:color="auto"/>
          <w:color w:val="auto"/>
        </w:rPr>
        <w:t>Negative Covenants of MPI, Individually and as Servicer</w:t>
      </w:r>
      <w:r>
        <w:rPr>
          <w:rFonts w:ascii="Times New Roman" w:cs="Times New Roman" w:eastAsia="Times New Roman" w:hAnsi="Times New Roman"/>
          <w:sz w:val="18"/>
          <w:szCs w:val="18"/>
          <w:color w:val="auto"/>
        </w:rPr>
        <w:t>. From the date hereof until the Final Payout Date, MPI, individually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Servicer, shall not, without the prior written consent of Agent and each Purchaser Agent, do or permit to occur any act or circumstance with which it has covenanted not to do or permit to occur in any Transaction Document to which it is a party in any capacity, or:</w:t>
      </w:r>
    </w:p>
    <w:p>
      <w:pPr>
        <w:spacing w:after="0" w:line="175" w:lineRule="exact"/>
        <w:rPr>
          <w:sz w:val="20"/>
          <w:szCs w:val="20"/>
          <w:color w:val="auto"/>
        </w:rPr>
      </w:pPr>
    </w:p>
    <w:p>
      <w:pPr>
        <w:ind w:left="660" w:firstLine="645"/>
        <w:spacing w:after="0" w:line="282" w:lineRule="auto"/>
        <w:tabs>
          <w:tab w:leader="none" w:pos="176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Interference with Seller</w:t>
      </w:r>
      <w:r>
        <w:rPr>
          <w:rFonts w:ascii="Times New Roman" w:cs="Times New Roman" w:eastAsia="Times New Roman" w:hAnsi="Times New Roman"/>
          <w:sz w:val="18"/>
          <w:szCs w:val="18"/>
          <w:color w:val="auto"/>
        </w:rPr>
        <w:t>. Take any action that would cause Seller or Originator (if Servicer is not Originator) to breach any of its representations, undertakings, obligations or covenants under any of the Transaction Documents.</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2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or Amendment of Receivables</w:t>
      </w:r>
      <w:r>
        <w:rPr>
          <w:rFonts w:ascii="Times New Roman" w:cs="Times New Roman" w:eastAsia="Times New Roman" w:hAnsi="Times New Roman"/>
          <w:sz w:val="18"/>
          <w:szCs w:val="18"/>
          <w:color w:val="auto"/>
        </w:rPr>
        <w:t xml:space="preserve">. Except as contemplated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extend, amend or otherwise modify the terms of any Pool Receivable or amend, modify or waive any term or condition of any related Contract in any respect that would or could reasonably be expected to, individually or in the aggregate, materially and adversely affect the payment (including the timing thereof), the value, the validity, the collectability, or the enforceability of, or the exercise of any rights with respect to the related Pool Receivables by it, Agent or any Purchaser or otherwise that would or could reasonably be expected to have, individually or in the aggregate, a Material Adverse Effect, in each case unless a Deemed Collection payment in respect of the related Pool Receivable is made in connection herewith.</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2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Business or Transaction Documents</w:t>
      </w:r>
      <w:r>
        <w:rPr>
          <w:rFonts w:ascii="Times New Roman" w:cs="Times New Roman" w:eastAsia="Times New Roman" w:hAnsi="Times New Roman"/>
          <w:sz w:val="18"/>
          <w:szCs w:val="18"/>
          <w:color w:val="auto"/>
        </w:rPr>
        <w:t>. (i) Make or consent to any change in the Credit and Collection Policies that could materially impair the value, validity, collectability or enforceability of, or increase the days-to-pay, Dilution or Contractual Dilution in excess of the Adjusted Contractual Dilution Estimate at such time with respect to, any Pool Receivable or otherwise make any material change thereto without the prior written consent of Agent and each Purchaser Agent, (ii) make a change in the character of its business that would have or could reasonably be expected to have, individually or in the aggregate, a Material Adverse Effect, in either case, without the prior written consent of the Agent and each Purchaser Agent or (iii) amend any other Transaction Document to which it is a party, in any capacity, without the prior written consent of Agent and each Purchaser Agent.</w:t>
      </w: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71" w:name="page472"/>
    <w:bookmarkEnd w:id="471"/>
    <w:p>
      <w:pPr>
        <w:jc w:val="both"/>
        <w:ind w:left="4" w:firstLine="645"/>
        <w:spacing w:after="0" w:line="256" w:lineRule="auto"/>
        <w:tabs>
          <w:tab w:leader="none" w:pos="109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Lock-Box Banks</w:t>
      </w:r>
      <w:r>
        <w:rPr>
          <w:rFonts w:ascii="Times New Roman" w:cs="Times New Roman" w:eastAsia="Times New Roman" w:hAnsi="Times New Roman"/>
          <w:sz w:val="18"/>
          <w:szCs w:val="18"/>
          <w:color w:val="auto"/>
        </w:rPr>
        <w:t xml:space="preserve">. (i) Add any bank or lock-box account not listed on </w:t>
      </w:r>
      <w:r>
        <w:rPr>
          <w:rFonts w:ascii="Times New Roman" w:cs="Times New Roman" w:eastAsia="Times New Roman" w:hAnsi="Times New Roman"/>
          <w:sz w:val="18"/>
          <w:szCs w:val="18"/>
          <w:u w:val="single" w:color="auto"/>
          <w:color w:val="auto"/>
        </w:rPr>
        <w:t>Schedule 6.1(m)</w:t>
      </w:r>
      <w:r>
        <w:rPr>
          <w:rFonts w:ascii="Times New Roman" w:cs="Times New Roman" w:eastAsia="Times New Roman" w:hAnsi="Times New Roman"/>
          <w:sz w:val="18"/>
          <w:szCs w:val="18"/>
          <w:color w:val="auto"/>
        </w:rPr>
        <w:t xml:space="preserve"> as a Lock-Box Bank or lock-box account unless Agent shall have previously approved and received duly executed copies of all Lock-Box Agreements and/or amendments thereto covering each such new bank and lock-box account or (ii) terminate any Lock-Box Bank, Lock-Box Agreement or related lock-box account without the prior written consent of Agent and each Purchaser Agent and, in each case, only if all of the payments from Obligors that were being sent to such Lock-Box Bank will, upon termination of such Lock-Box Bank and at all times thereafter, be deposited in a lock-box account with another Lock-Box Bank covered by a Lock-Box Agreement.</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32"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Deposits to Accounts</w:t>
      </w:r>
      <w:r>
        <w:rPr>
          <w:rFonts w:ascii="Times New Roman" w:cs="Times New Roman" w:eastAsia="Times New Roman" w:hAnsi="Times New Roman"/>
          <w:sz w:val="18"/>
          <w:szCs w:val="18"/>
          <w:color w:val="auto"/>
        </w:rPr>
        <w:t xml:space="preserve">. Deposit or otherwise credit, or cause or permit to be so deposited or credited, or direct any Obligor to deposit or remit, any Collection or proceeds thereof (other than as remitted to Seller pursuant to </w:t>
      </w:r>
      <w:r>
        <w:rPr>
          <w:rFonts w:ascii="Times New Roman" w:cs="Times New Roman" w:eastAsia="Times New Roman" w:hAnsi="Times New Roman"/>
          <w:sz w:val="18"/>
          <w:szCs w:val="18"/>
          <w:u w:val="single" w:color="auto"/>
          <w:color w:val="auto"/>
        </w:rPr>
        <w:t>Section 1.3(a)(iii)</w:t>
      </w:r>
      <w:r>
        <w:rPr>
          <w:rFonts w:ascii="Times New Roman" w:cs="Times New Roman" w:eastAsia="Times New Roman" w:hAnsi="Times New Roman"/>
          <w:sz w:val="18"/>
          <w:szCs w:val="18"/>
          <w:color w:val="auto"/>
        </w:rPr>
        <w:t xml:space="preserve"> hereof) to any account (or related lock-box, if applicable) not covered by a Lock-Box Agreement (other than a de minimis amount of payments misdirected by the Obligors).</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52" w:lineRule="auto"/>
        <w:tabs>
          <w:tab w:leader="none" w:pos="1025"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Sales, Etc</w:t>
      </w:r>
      <w:r>
        <w:rPr>
          <w:rFonts w:ascii="Times New Roman" w:cs="Times New Roman" w:eastAsia="Times New Roman" w:hAnsi="Times New Roman"/>
          <w:sz w:val="18"/>
          <w:szCs w:val="18"/>
          <w:color w:val="auto"/>
        </w:rPr>
        <w:t xml:space="preserve">. If Servicer is MPI or an Affiliate of MPI, consolidate or merge with or into, or sell, lease or otherwise transfer all or substantially all of its assets to, any other Person, unless (i) such Person assumes the obligations of Servicer under this Agreement and the other Transaction Documents pursuant to documentation reasonably satisfactory to Agent, (ii) Agent and each Purchaser have consented in writing thereto, which consent shall not be unreasonably withheld, conditioned or delayed, (iii) Performance Guarantor has delivered a reaffirmation of the Performance Guaranty to the Agent as of the applicable effective date and (iv) Agent shall have received executed copies of all documents, certificates and opinions as Agent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Affiliate (other than Seller) may merge into Servicer in a transaction in which Servicer is the surviving Person. In addition, MPI shall not permit Originator to consolidate or merge with or into, or permit Originator to sell, lease or otherwise transfer all or substantially all of its assets to, any other Person, unless (i) such Person assumes the obligations of Originator under the Sale Agreement and the other Transaction Documents pursuant to documentation reasonably satisfactory to Agent, (ii) Agent and each Purchaser have consented in writing thereto, which consent shall not be unreasonably withheld, conditioned or delayed,</w:t>
      </w:r>
    </w:p>
    <w:p>
      <w:pPr>
        <w:spacing w:after="0" w:line="5"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has been satisfied that all other actions to perfect and protect the interests of Agent, for the benefit of the Secured Parties, in and to the Collateral, as reasonably requested by Agent shall have been taken by, and at the expense of MPI (including the filing of any UCC financing statements or financing statement amendments), (iv) Agent shall have received lien searches and executed copies of all documents, certificates, and opinions as Agent shall reasonably request, (v) Performance Guarantor has delivered a reaffirmation of the Performance Guaranty to the Agent as of the applicable effective date and (vi) Seller, Originator and Servicer have consented to such amendments to the Transaction Documents, solely as to such amendments to reflect (x) the merger of such Person into Originator and (y) any variation in the characteristics or performance of the Receivables originated by such Person to those Receivables originated by Originator prior to giving effect to such merger, as reasonably requested by Agent, including any amendments to (A) the definitions of “Eligible Receivable”, “Net Pool Balance” or any of the definitions</w:t>
      </w:r>
    </w:p>
    <w:p>
      <w:pPr>
        <w:spacing w:after="0" w:line="200" w:lineRule="exact"/>
        <w:rPr>
          <w:sz w:val="20"/>
          <w:szCs w:val="20"/>
          <w:color w:val="auto"/>
        </w:rPr>
      </w:pPr>
    </w:p>
    <w:p>
      <w:pPr>
        <w:spacing w:after="0" w:line="376"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72" w:name="page473"/>
    <w:bookmarkEnd w:id="472"/>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used in such definition, “Required Reserves” or any of the definitions used in such definition, “Specified Concentration Percentage” or “Loss Reserve Floor Percentage” or (B) </w:t>
      </w:r>
      <w:r>
        <w:rPr>
          <w:rFonts w:ascii="Times New Roman" w:cs="Times New Roman" w:eastAsia="Times New Roman" w:hAnsi="Times New Roman"/>
          <w:sz w:val="18"/>
          <w:szCs w:val="18"/>
          <w:u w:val="single" w:color="auto"/>
          <w:color w:val="auto"/>
        </w:rPr>
        <w:t>Sections 10.01(f)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Affiliate of Originator may merge in a transaction in which Originator is the surviving Person.</w:t>
      </w:r>
    </w:p>
    <w:p>
      <w:pPr>
        <w:spacing w:after="0" w:line="176" w:lineRule="exact"/>
        <w:rPr>
          <w:sz w:val="20"/>
          <w:szCs w:val="20"/>
          <w:color w:val="auto"/>
        </w:rPr>
      </w:pPr>
    </w:p>
    <w:p>
      <w:pPr>
        <w:ind w:left="1700" w:hanging="395"/>
        <w:spacing w:after="0"/>
        <w:tabs>
          <w:tab w:leader="none" w:pos="170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Contrary to Separateness</w:t>
      </w:r>
      <w:r>
        <w:rPr>
          <w:rFonts w:ascii="Times New Roman" w:cs="Times New Roman" w:eastAsia="Times New Roman" w:hAnsi="Times New Roman"/>
          <w:sz w:val="18"/>
          <w:szCs w:val="18"/>
          <w:color w:val="auto"/>
        </w:rPr>
        <w:t xml:space="preserve">. Take any action inconsistent with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6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Liens, Etc.</w:t>
      </w:r>
      <w:r>
        <w:rPr>
          <w:rFonts w:ascii="Times New Roman" w:cs="Times New Roman" w:eastAsia="Times New Roman" w:hAnsi="Times New Roman"/>
          <w:sz w:val="18"/>
          <w:szCs w:val="18"/>
          <w:color w:val="auto"/>
        </w:rPr>
        <w:t xml:space="preserve"> Except as otherwise provided herein, sell, assign (by operation of Law or otherwise) or otherwise dispose of, or create or suffer to exist any Lien upon or with respect to, any Pool Receivable or related Contract or other Related Security, or any interest therein, or any proceeds of any of the foregoing, or any lock-box account to which any Collections of any Pool Receivable are sent, or any right to receive income or proceeds from or in respect of any of the foregoing, or purport to do any of the foregoing.</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672"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Evidencing Transfers by Originator</w:t>
      </w:r>
      <w:r>
        <w:rPr>
          <w:rFonts w:ascii="Times New Roman" w:cs="Times New Roman" w:eastAsia="Times New Roman" w:hAnsi="Times New Roman"/>
          <w:sz w:val="18"/>
          <w:szCs w:val="18"/>
          <w:color w:val="auto"/>
        </w:rPr>
        <w:t xml:space="preserve">. Notwithstanding anything to the contrary set forth in the Sale Agreement, consent to any change or removal of any notation required to be made by Originator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Sale Agreement without the prior written consent of Agent and each Purchaser Agent.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u w:val="single" w:color="auto"/>
          <w:color w:val="auto"/>
        </w:rPr>
        <w:t>Full Recourse</w:t>
      </w:r>
      <w:r>
        <w:rPr>
          <w:rFonts w:ascii="Times New Roman" w:cs="Times New Roman" w:eastAsia="Times New Roman" w:hAnsi="Times New Roman"/>
          <w:sz w:val="18"/>
          <w:szCs w:val="18"/>
          <w:color w:val="auto"/>
        </w:rPr>
        <w:t>. Notwithstanding any limitation on recourse contained herein or in any other Transaction Document: (i) Seller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obligation to pay all Yield and other amounts due under </w:t>
      </w:r>
      <w:r>
        <w:rPr>
          <w:rFonts w:ascii="Times New Roman" w:cs="Times New Roman" w:eastAsia="Times New Roman" w:hAnsi="Times New Roman"/>
          <w:sz w:val="18"/>
          <w:szCs w:val="18"/>
          <w:u w:val="single" w:color="auto"/>
          <w:color w:val="auto"/>
        </w:rPr>
        <w:t>Sections 3.1(c)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(which obligation shall be full recourse general obligations of Seller), and (ii) all obligations of Servicer so specified hereunder shall be full recourse general obligations of Servicer.</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u w:val="single" w:color="auto"/>
          <w:color w:val="auto"/>
        </w:rPr>
        <w:t>Corporate Separateness; Related Matters and Covenants</w:t>
      </w:r>
      <w:r>
        <w:rPr>
          <w:rFonts w:ascii="Times New Roman" w:cs="Times New Roman" w:eastAsia="Times New Roman" w:hAnsi="Times New Roman"/>
          <w:sz w:val="18"/>
          <w:szCs w:val="18"/>
          <w:color w:val="auto"/>
        </w:rPr>
        <w:t>. Each of MPI, Servicer and Seller covenants, for the benefit of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the other Secured Parties, until the Final Payout Date as follows:</w:t>
      </w:r>
    </w:p>
    <w:p>
      <w:pPr>
        <w:spacing w:after="0" w:line="159" w:lineRule="exact"/>
        <w:rPr>
          <w:sz w:val="20"/>
          <w:szCs w:val="20"/>
          <w:color w:val="auto"/>
        </w:rPr>
      </w:pPr>
    </w:p>
    <w:p>
      <w:pPr>
        <w:jc w:val="both"/>
        <w:ind w:left="660" w:firstLine="645"/>
        <w:spacing w:after="0" w:line="256" w:lineRule="auto"/>
        <w:tabs>
          <w:tab w:leader="none" w:pos="171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MPI, Seller and Servicer shall assure that Seller, Performance Guarantor, MPI and Originator (and each of their respective Affiliates) shall observe the applicable legal requirements for the recognition of Seller as a legal entity separate and apart from each of Originator, MPI, Performance Guarantor and any of their respective Affiliates, and comply with (and cause to be true and correct) its organizational documents, each of the facts and assumptions contained in the opinions of external counsel delivered pursuant to or in connection with the Prior Agreement, this Agreement or any other Transaction Document regarding “true sale” and “substantive consolidation” matters (and any later bring-downs or replacements of such opinions) and assuring that each of the following is complied with:</w:t>
      </w:r>
    </w:p>
    <w:p>
      <w:pPr>
        <w:spacing w:after="0" w:line="187"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306"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maintain separate company records, books of account and financial statements (each of which shall be sufficiently full and complete to permit a determination of Seller’s assets and liabilities and to permit a determination of the obligees thereon and the time for performance on each of</w:t>
      </w:r>
    </w:p>
    <w:p>
      <w:pPr>
        <w:spacing w:after="0" w:line="200" w:lineRule="exact"/>
        <w:rPr>
          <w:sz w:val="20"/>
          <w:szCs w:val="20"/>
          <w:color w:val="auto"/>
        </w:rPr>
      </w:pPr>
    </w:p>
    <w:p>
      <w:pPr>
        <w:spacing w:after="0" w:line="36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73" w:name="page474"/>
    <w:bookmarkEnd w:id="473"/>
    <w:p>
      <w:pPr>
        <w:ind w:left="100"/>
        <w:spacing w:after="0"/>
        <w:rPr>
          <w:sz w:val="20"/>
          <w:szCs w:val="20"/>
          <w:color w:val="auto"/>
        </w:rPr>
      </w:pPr>
      <w:r>
        <w:rPr>
          <w:rFonts w:ascii="Times New Roman" w:cs="Times New Roman" w:eastAsia="Times New Roman" w:hAnsi="Times New Roman"/>
          <w:sz w:val="18"/>
          <w:szCs w:val="18"/>
          <w:color w:val="auto"/>
        </w:rPr>
        <w:t>Seller’s obligations) from those of Originator, MPI, Performance Guarantor and their respective Affiliates other than Seller;</w:t>
      </w:r>
    </w:p>
    <w:p>
      <w:pPr>
        <w:spacing w:after="0" w:line="225" w:lineRule="exact"/>
        <w:rPr>
          <w:sz w:val="20"/>
          <w:szCs w:val="20"/>
          <w:color w:val="auto"/>
        </w:rPr>
      </w:pPr>
    </w:p>
    <w:p>
      <w:pPr>
        <w:ind w:left="100" w:firstLine="653"/>
        <w:spacing w:after="0" w:line="282" w:lineRule="auto"/>
        <w:tabs>
          <w:tab w:leader="none" w:pos="1273"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by this Agreement, Seller shall not commingle any of its assets or funds with those of Originator, MPI, Performance Guarantor or any of their respective Affiliates;</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56" w:lineRule="auto"/>
        <w:tabs>
          <w:tab w:leader="none" w:pos="129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least one member of Seller’s board of managers shall be an Independent Manager and the limited liability company agreement of Seller shall provide: (i) for the same definition of “Independent Manager” as used herein, (ii) that Seller’s board of managers shall not approve, or take any other action to cause the filing of, a voluntary bankruptcy petition with respect to Seller unless the Independent Manager shall approve the taking of such action in writing before the taking of such action and (iii) that the provisions required by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sentence cannot be amended except in accordance with this Agreement and without the prior written consent of the Independent Manager, the Agent and each Purchaser Agent;</w:t>
      </w:r>
    </w:p>
    <w:p>
      <w:pPr>
        <w:spacing w:after="0" w:line="187"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24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and board of managers of Seller shall hold all regular and special meetings appropriate to authorize Seller’s actions. The members and managers of Seller may act from time to time by unanimous written consent or through one or more committees in accordance with Seller’s certificate of formation and its limited liability company agreement. Seller shall not take any Material Actions (as defined in its limited liability company agreement) without the consent of all its managers, including its Independent Manager. Appropriate minutes of all meetings of Seller’s members and managers (and committees thereof) shall be kept by Seller;</w:t>
      </w:r>
    </w:p>
    <w:p>
      <w:pPr>
        <w:spacing w:after="0" w:line="183" w:lineRule="exact"/>
        <w:rPr>
          <w:rFonts w:ascii="Times New Roman" w:cs="Times New Roman" w:eastAsia="Times New Roman" w:hAnsi="Times New Roman"/>
          <w:sz w:val="18"/>
          <w:szCs w:val="18"/>
          <w:color w:val="auto"/>
        </w:rPr>
      </w:pPr>
    </w:p>
    <w:p>
      <w:pPr>
        <w:ind w:left="1140" w:hanging="387"/>
        <w:spacing w:after="0"/>
        <w:tabs>
          <w:tab w:leader="none" w:pos="11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compensate its Independent Manager in accordance with its limited liability company agreement;</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8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with respect to Seller’s business and daily operations shall be independently made by Seller and shall not be dictated by Originator, MPI, Performance Guarantor or any of their respective Affiliates, provided that Servicer shall service the Pool Receivables as contemplated by the Transaction Documents;</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56"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(xvi)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no transactions shall be entered between Seller, on the one hand and Originator, Servicer, Performance Guarantor or any Affiliate of any of them, on the other hand (other than as contemplated hereby and in the other Transaction Documents);</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30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act solely in its own name and through its own authorized managers, members, officers and agents, except that, as a general matter, the Obligors will not be informed in the first instance that Servicer, Originator or Performance Guarantor are acting on behalf of Seller. No Originator, Servicer, Performance Guarantor or any Affiliates of MPI shall be</w:t>
      </w:r>
    </w:p>
    <w:p>
      <w:pPr>
        <w:spacing w:after="0" w:line="200" w:lineRule="exact"/>
        <w:rPr>
          <w:sz w:val="20"/>
          <w:szCs w:val="20"/>
          <w:color w:val="auto"/>
        </w:rPr>
      </w:pPr>
    </w:p>
    <w:p>
      <w:pPr>
        <w:spacing w:after="0" w:line="365"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74" w:name="page475"/>
    <w:bookmarkEnd w:id="474"/>
    <w:p>
      <w:pPr>
        <w:ind w:left="100"/>
        <w:spacing w:after="0"/>
        <w:rPr>
          <w:sz w:val="20"/>
          <w:szCs w:val="20"/>
          <w:color w:val="auto"/>
        </w:rPr>
      </w:pPr>
      <w:r>
        <w:rPr>
          <w:rFonts w:ascii="Times New Roman" w:cs="Times New Roman" w:eastAsia="Times New Roman" w:hAnsi="Times New Roman"/>
          <w:sz w:val="18"/>
          <w:szCs w:val="18"/>
          <w:color w:val="auto"/>
        </w:rPr>
        <w:t>appointed as an agent of Seller, except in the capacity of Servicer or subservicer hereunder;</w:t>
      </w:r>
    </w:p>
    <w:p>
      <w:pPr>
        <w:spacing w:after="0" w:line="225" w:lineRule="exact"/>
        <w:rPr>
          <w:sz w:val="20"/>
          <w:szCs w:val="20"/>
          <w:color w:val="auto"/>
        </w:rPr>
      </w:pPr>
    </w:p>
    <w:p>
      <w:pPr>
        <w:jc w:val="both"/>
        <w:ind w:left="100" w:firstLine="653"/>
        <w:spacing w:after="0" w:line="266" w:lineRule="auto"/>
        <w:tabs>
          <w:tab w:leader="none" w:pos="125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Servicer, Performance Guarantor or any of their respective Affiliates shall advance funds or credit to Seller; and none of Servicer, Performance Guarantor nor any Affiliate of Servicer or Performance Guarantor will otherwise supply funds or credit to, or guarantee any obligation of, Seller except for MPI’s contributions of capital to Seller;</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0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maintain a separate office which shall be physically separate from space occupied by Originator, Performance Guarantor or any Affiliate of Originator or Performance Guarantor (but may be in a separate space occupied solely by Seller at the offices of Originator or any Affiliate of Originator) and shall be clearly identified as Seller’s office so it can be identified by outsiders;</w:t>
      </w:r>
    </w:p>
    <w:p>
      <w:pPr>
        <w:spacing w:after="0" w:line="176" w:lineRule="exact"/>
        <w:rPr>
          <w:rFonts w:ascii="Times New Roman" w:cs="Times New Roman" w:eastAsia="Times New Roman" w:hAnsi="Times New Roman"/>
          <w:sz w:val="18"/>
          <w:szCs w:val="18"/>
          <w:color w:val="auto"/>
        </w:rPr>
      </w:pPr>
    </w:p>
    <w:p>
      <w:pPr>
        <w:ind w:left="100" w:firstLine="653"/>
        <w:spacing w:after="0" w:line="282" w:lineRule="auto"/>
        <w:tabs>
          <w:tab w:leader="none" w:pos="119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permitted by the Transaction Documents, Seller shall not guarantee, or otherwise become liable with respect to, any obligation of MPI, Originator, Performance Guarantor or any Affiliate of Originator;</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7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at all times hold itself out to the public under Seller’s own name as a legal entity separate and distinct from its shareholders, members, managers, Performance Guarantor, MPI, Originator and each of their respective Affiliates (the foregoing to include, but not be limited to, use of separate and distinct letterhead and telephone number(s));</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363"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MPI or Performance Guarantor (or following the consummation of the Specified Acquisition Transaction, New Mylan) may issue consolidated financial statements that will include Seller, but such financial statements will contain a footnote to the effect that the Receivables and Related Assets of Seller are not available to creditors of MPI or Performance Guarantor (or, if applicable, New Mylan); in addition Seller shall prepare separate financial statements in compliance with generally accepted accounting principles consistently applied;</w:t>
      </w:r>
    </w:p>
    <w:p>
      <w:pPr>
        <w:spacing w:after="0" w:line="183"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32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Seller, Servicer, Performance Guarantor or Originator shall provide Records relating to Pool Receivables to any creditor of Seller or Servicer, Seller or Servicer, as the case may be, shall also provide (or cause Originator to provide) to such creditor a notice indicating that the Collections relating to such Pool Receivables are held in trust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00" w:firstLine="653"/>
        <w:spacing w:after="0" w:line="282" w:lineRule="auto"/>
        <w:tabs>
          <w:tab w:leader="none" w:pos="124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Originator’s financial statements shall disclose the separateness of Seller and that the Pool Receivables are owned by Seller and are not available to creditors of Originator or of their respective Affiliates;</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392"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allocations of direct, indirect or overhead expenses for items shared between Seller and Originator, Performance Guarantor or any of their respective Affiliates that are not included as part of the Servicing Fee shall be made among Seller and Originator, Performance Guarantor or any of their</w:t>
      </w:r>
    </w:p>
    <w:p>
      <w:pPr>
        <w:spacing w:after="0" w:line="200" w:lineRule="exact"/>
        <w:rPr>
          <w:sz w:val="20"/>
          <w:szCs w:val="20"/>
          <w:color w:val="auto"/>
        </w:rPr>
      </w:pPr>
    </w:p>
    <w:p>
      <w:pPr>
        <w:spacing w:after="0" w:line="365"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5" w:right="239" w:bottom="1440" w:gutter="0" w:footer="0" w:header="0"/>
        </w:sectPr>
      </w:pPr>
    </w:p>
    <w:bookmarkStart w:id="475" w:name="page476"/>
    <w:bookmarkEnd w:id="475"/>
    <w:p>
      <w:pPr>
        <w:ind w:left="100"/>
        <w:spacing w:after="0" w:line="282" w:lineRule="auto"/>
        <w:rPr>
          <w:sz w:val="20"/>
          <w:szCs w:val="20"/>
          <w:color w:val="auto"/>
        </w:rPr>
      </w:pPr>
      <w:r>
        <w:rPr>
          <w:rFonts w:ascii="Times New Roman" w:cs="Times New Roman" w:eastAsia="Times New Roman" w:hAnsi="Times New Roman"/>
          <w:sz w:val="18"/>
          <w:szCs w:val="18"/>
          <w:color w:val="auto"/>
        </w:rPr>
        <w:t>respective Affiliates to the extent practical on the basis of actual use or value of services rendered and otherwise on a basis reasonably related to actual use or the value of services rendered;</w:t>
      </w:r>
    </w:p>
    <w:p>
      <w:pPr>
        <w:spacing w:after="0" w:line="162" w:lineRule="exact"/>
        <w:rPr>
          <w:sz w:val="20"/>
          <w:szCs w:val="20"/>
          <w:color w:val="auto"/>
        </w:rPr>
      </w:pPr>
    </w:p>
    <w:p>
      <w:pPr>
        <w:ind w:left="100" w:right="20" w:firstLine="653"/>
        <w:spacing w:after="0" w:line="282" w:lineRule="auto"/>
        <w:tabs>
          <w:tab w:leader="none" w:pos="1337"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be named, directly or indirectly, as a contingent beneficiary or loss payee on any insurance policy covering the property of Servicer, Originator, Performance Guarantor or any Affiliate of any of them;</w:t>
      </w:r>
    </w:p>
    <w:p>
      <w:pPr>
        <w:spacing w:after="0" w:line="161" w:lineRule="exact"/>
        <w:rPr>
          <w:rFonts w:ascii="Times New Roman" w:cs="Times New Roman" w:eastAsia="Times New Roman" w:hAnsi="Times New Roman"/>
          <w:sz w:val="18"/>
          <w:szCs w:val="18"/>
          <w:color w:val="auto"/>
        </w:rPr>
      </w:pPr>
    </w:p>
    <w:p>
      <w:pPr>
        <w:ind w:left="1380" w:hanging="627"/>
        <w:spacing w:after="0"/>
        <w:tabs>
          <w:tab w:leader="none" w:pos="13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maintain adequate capital in light of its contemplated business operations;</w:t>
      </w:r>
    </w:p>
    <w:p>
      <w:pPr>
        <w:spacing w:after="0" w:line="225" w:lineRule="exact"/>
        <w:rPr>
          <w:rFonts w:ascii="Times New Roman" w:cs="Times New Roman" w:eastAsia="Times New Roman" w:hAnsi="Times New Roman"/>
          <w:sz w:val="18"/>
          <w:szCs w:val="18"/>
          <w:color w:val="auto"/>
        </w:rPr>
      </w:pPr>
    </w:p>
    <w:p>
      <w:pPr>
        <w:ind w:left="1280" w:hanging="527"/>
        <w:spacing w:after="0"/>
        <w:tabs>
          <w:tab w:leader="none" w:pos="12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generally maintain an arm’s-length relationship with Originator, Performance Guarantor and its Affiliates; and</w:t>
      </w:r>
    </w:p>
    <w:p>
      <w:pPr>
        <w:spacing w:after="0" w:line="225" w:lineRule="exact"/>
        <w:rPr>
          <w:rFonts w:ascii="Times New Roman" w:cs="Times New Roman" w:eastAsia="Times New Roman" w:hAnsi="Times New Roman"/>
          <w:sz w:val="18"/>
          <w:szCs w:val="18"/>
          <w:color w:val="auto"/>
        </w:rPr>
      </w:pPr>
    </w:p>
    <w:p>
      <w:pPr>
        <w:ind w:left="1240" w:hanging="487"/>
        <w:spacing w:after="0"/>
        <w:tabs>
          <w:tab w:leader="none" w:pos="124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Manager shall not at any time serve as a trustee in bankruptcy for Seller, Servicer or any of their respective</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206" w:lineRule="exact"/>
        <w:rPr>
          <w:rFonts w:ascii="Times New Roman" w:cs="Times New Roman" w:eastAsia="Times New Roman" w:hAnsi="Times New Roman"/>
          <w:sz w:val="18"/>
          <w:szCs w:val="18"/>
          <w:color w:val="auto"/>
        </w:rPr>
      </w:pPr>
    </w:p>
    <w:p>
      <w:pPr>
        <w:ind w:left="-540" w:firstLine="645"/>
        <w:spacing w:after="0" w:line="282" w:lineRule="auto"/>
        <w:tabs>
          <w:tab w:leader="none" w:pos="512"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agrees that (and MPI, in its capacity as the sole member of Seller, agrees that it will cause Seller to comply therewith), until the Final Payout Date:</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101"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issue any security of any kind except certificates evidencing membership interests issued to MPI in connection with its formation, or incur, assume, guarantee or otherwise become directly or indirectly liable for or in respect of any Debt or obligation other than as will occur in accordance with the Transaction Documents;</w:t>
      </w:r>
    </w:p>
    <w:p>
      <w:pPr>
        <w:spacing w:after="0" w:line="176" w:lineRule="exact"/>
        <w:rPr>
          <w:rFonts w:ascii="Times New Roman" w:cs="Times New Roman" w:eastAsia="Times New Roman" w:hAnsi="Times New Roman"/>
          <w:sz w:val="18"/>
          <w:szCs w:val="18"/>
          <w:color w:val="auto"/>
        </w:rPr>
      </w:pPr>
    </w:p>
    <w:p>
      <w:pPr>
        <w:ind w:left="1280" w:hanging="527"/>
        <w:spacing w:after="0"/>
        <w:tabs>
          <w:tab w:leader="none" w:pos="128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sell, pledge or dispose of any of its assets, except as permitted by, or as provided in, the Transaction</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left="100" w:firstLine="653"/>
        <w:spacing w:after="0" w:line="282" w:lineRule="auto"/>
        <w:tabs>
          <w:tab w:leader="none" w:pos="1205"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purchase any asset (or make any investment, by share purchase, loan or otherwise) except as permitted by, or as provided in, the Transaction Documents;</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195"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engage in any activity (whether or not pursued for gain or other pecuniary advantage) other than as permitted by the Transaction Documents;</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206"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create, assume or suffer to exist any Lien on any of its assets other than any Lien created pursuant to the Transaction Documents;</w:t>
      </w:r>
    </w:p>
    <w:p>
      <w:pPr>
        <w:spacing w:after="0" w:line="161"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01"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make any payment, directly or indirectly, to, or for the account or benefit of, any owner of any Voting Stock, security interest or equity interest in Seller or any Affiliate of any such owner (except, in each case, as expressly permitted by the Transaction Documents);</w:t>
      </w:r>
    </w:p>
    <w:p>
      <w:pPr>
        <w:spacing w:after="0" w:line="176" w:lineRule="exact"/>
        <w:rPr>
          <w:rFonts w:ascii="Times New Roman" w:cs="Times New Roman" w:eastAsia="Times New Roman" w:hAnsi="Times New Roman"/>
          <w:sz w:val="18"/>
          <w:szCs w:val="18"/>
          <w:color w:val="auto"/>
        </w:rPr>
      </w:pPr>
    </w:p>
    <w:p>
      <w:pPr>
        <w:ind w:left="100" w:firstLine="653"/>
        <w:spacing w:after="0" w:line="282" w:lineRule="auto"/>
        <w:tabs>
          <w:tab w:leader="none" w:pos="133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make, declare or otherwise commence or become obligated in respect of, any dividend, stock or other security redemption or purchase, distribution or other payment to, or for the account or benefit of, any</w:t>
      </w:r>
    </w:p>
    <w:p>
      <w:pPr>
        <w:spacing w:after="0" w:line="200" w:lineRule="exact"/>
        <w:rPr>
          <w:sz w:val="20"/>
          <w:szCs w:val="20"/>
          <w:color w:val="auto"/>
        </w:rPr>
      </w:pPr>
    </w:p>
    <w:p>
      <w:pPr>
        <w:spacing w:after="0" w:line="350"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76" w:name="page477"/>
    <w:bookmarkEnd w:id="476"/>
    <w:p>
      <w:pPr>
        <w:ind w:left="640"/>
        <w:spacing w:after="0" w:line="261" w:lineRule="auto"/>
        <w:rPr>
          <w:sz w:val="20"/>
          <w:szCs w:val="20"/>
          <w:color w:val="auto"/>
        </w:rPr>
      </w:pPr>
      <w:r>
        <w:rPr>
          <w:rFonts w:ascii="Times New Roman" w:cs="Times New Roman" w:eastAsia="Times New Roman" w:hAnsi="Times New Roman"/>
          <w:sz w:val="18"/>
          <w:szCs w:val="18"/>
          <w:color w:val="auto"/>
        </w:rPr>
        <w:t xml:space="preserve">owner of any Voting Stock or other security interest or equity interest in Seller to any such owner or any Affiliate of any such owner (except, in each case, as otherwise provided herein or in the other Transaction Documents), except out of funds received by it under </w:t>
      </w:r>
      <w:r>
        <w:rPr>
          <w:rFonts w:ascii="Times New Roman" w:cs="Times New Roman" w:eastAsia="Times New Roman" w:hAnsi="Times New Roman"/>
          <w:sz w:val="18"/>
          <w:szCs w:val="18"/>
          <w:u w:val="single" w:color="auto"/>
          <w:color w:val="auto"/>
        </w:rPr>
        <w:t>Article</w:t>
      </w:r>
    </w:p>
    <w:p>
      <w:pPr>
        <w:ind w:left="640" w:right="20" w:firstLine="5"/>
        <w:spacing w:after="0" w:line="261" w:lineRule="auto"/>
        <w:tabs>
          <w:tab w:leader="none" w:pos="877" w:val="left"/>
        </w:tabs>
        <w:numPr>
          <w:ilvl w:val="0"/>
          <w:numId w:val="4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only if (I) the result would be to directly or indirectly cause any non-compliance with </w:t>
      </w:r>
      <w:r>
        <w:rPr>
          <w:rFonts w:ascii="Times New Roman" w:cs="Times New Roman" w:eastAsia="Times New Roman" w:hAnsi="Times New Roman"/>
          <w:sz w:val="18"/>
          <w:szCs w:val="18"/>
          <w:u w:val="single" w:color="auto"/>
          <w:color w:val="auto"/>
        </w:rPr>
        <w:t>Section 7.3(i)</w:t>
      </w:r>
      <w:r>
        <w:rPr>
          <w:rFonts w:ascii="Times New Roman" w:cs="Times New Roman" w:eastAsia="Times New Roman" w:hAnsi="Times New Roman"/>
          <w:sz w:val="18"/>
          <w:szCs w:val="18"/>
          <w:color w:val="auto"/>
        </w:rPr>
        <w:t xml:space="preserve"> or (II) there exists (or would exist after giving effect thereto) (x) an Event of Default or (y) an Unmatured Event of Default;</w:t>
      </w:r>
    </w:p>
    <w:p>
      <w:pPr>
        <w:spacing w:after="0" w:line="179" w:lineRule="exact"/>
        <w:rPr>
          <w:rFonts w:ascii="Times New Roman" w:cs="Times New Roman" w:eastAsia="Times New Roman" w:hAnsi="Times New Roman"/>
          <w:sz w:val="18"/>
          <w:szCs w:val="18"/>
          <w:u w:val="single" w:color="auto"/>
          <w:color w:val="auto"/>
        </w:rPr>
      </w:pPr>
    </w:p>
    <w:p>
      <w:pPr>
        <w:ind w:left="640" w:firstLine="653"/>
        <w:spacing w:after="0" w:line="282" w:lineRule="auto"/>
        <w:tabs>
          <w:tab w:leader="none" w:pos="1838"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not acquiesce in, or direct Servicer or any other agent to take, any action that is prohibited to be taken by Seller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or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1740" w:hanging="447"/>
        <w:spacing w:after="0"/>
        <w:tabs>
          <w:tab w:leader="none" w:pos="174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not have any employees; and</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717"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will provide for not less than ten (10) Business Days’ prior written notice to Agent and each Purchaser Agent of any removal, replacement or appointment of any manager that is to serve as an Independent Manager, such notice to include the identity of the proposed replacement Independent Manager, together with a certification that such replacement satisfies the requirements for an Independent Manager set forth in this Agreement and the limited liability company agreement of Seller.</w:t>
      </w:r>
    </w:p>
    <w:p>
      <w:pPr>
        <w:spacing w:after="0" w:line="180" w:lineRule="exact"/>
        <w:rPr>
          <w:sz w:val="20"/>
          <w:szCs w:val="20"/>
          <w:color w:val="auto"/>
        </w:rPr>
      </w:pPr>
    </w:p>
    <w:p>
      <w:pPr>
        <w:ind w:left="1040" w:hanging="395"/>
        <w:spacing w:after="0"/>
        <w:tabs>
          <w:tab w:leader="none" w:pos="10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MPI, Seller or Servicer shall take any action or permit any of its respective Affiliates to take any action inconsistent with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right="20" w:firstLine="645"/>
        <w:spacing w:after="0" w:line="282" w:lineRule="auto"/>
        <w:tabs>
          <w:tab w:leader="none" w:pos="108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each Purchaser Agent hereby confirms that the Independent Manager (Frank B. Bilotta) is acceptable to Agent and each Purchaser Agent as of the Closing Date.</w:t>
      </w:r>
    </w:p>
    <w:p>
      <w:pPr>
        <w:spacing w:after="0" w:line="200" w:lineRule="exact"/>
        <w:rPr>
          <w:sz w:val="20"/>
          <w:szCs w:val="20"/>
          <w:color w:val="auto"/>
        </w:rPr>
      </w:pPr>
    </w:p>
    <w:p>
      <w:pPr>
        <w:spacing w:after="0" w:line="39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ADMINISTRATION AND COLLECTION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8"/>
          <w:szCs w:val="18"/>
          <w:u w:val="single" w:color="auto"/>
          <w:color w:val="auto"/>
        </w:rPr>
        <w:t>Designation of Servicer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5"/>
        <w:spacing w:after="0" w:line="258" w:lineRule="auto"/>
        <w:tabs>
          <w:tab w:leader="none" w:pos="1028"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MPI as Initial Servicer</w:t>
      </w:r>
      <w:r>
        <w:rPr>
          <w:rFonts w:ascii="Times New Roman" w:cs="Times New Roman" w:eastAsia="Times New Roman" w:hAnsi="Times New Roman"/>
          <w:sz w:val="18"/>
          <w:szCs w:val="18"/>
          <w:color w:val="auto"/>
        </w:rPr>
        <w:t>. The servicing, administering and collection of the Pool Receivables on behalf of Agent and Purchasers shall be conducted by the Person designated as Servicer hereunder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xml:space="preserve">”) from time to time in accordance with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Until Agent gives to MPI a Successor Notice (as defined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MPI is hereby designated as, and hereby agrees to perform the duties and obligations of, Servicer pursuant to the terms hereof. Servicer shall receive the Servicing Fee, payable as described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for the performance of its duties hereunder.</w:t>
      </w:r>
    </w:p>
    <w:p>
      <w:pPr>
        <w:spacing w:after="0" w:line="183" w:lineRule="exact"/>
        <w:rPr>
          <w:rFonts w:ascii="Times New Roman" w:cs="Times New Roman" w:eastAsia="Times New Roman" w:hAnsi="Times New Roman"/>
          <w:sz w:val="18"/>
          <w:szCs w:val="18"/>
          <w:color w:val="auto"/>
        </w:rPr>
      </w:pPr>
    </w:p>
    <w:p>
      <w:pPr>
        <w:jc w:val="both"/>
        <w:ind w:firstLine="645"/>
        <w:spacing w:after="0" w:line="266" w:lineRule="auto"/>
        <w:tabs>
          <w:tab w:leader="none" w:pos="106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Notice</w:t>
      </w:r>
      <w:r>
        <w:rPr>
          <w:rFonts w:ascii="Times New Roman" w:cs="Times New Roman" w:eastAsia="Times New Roman" w:hAnsi="Times New Roman"/>
          <w:sz w:val="18"/>
          <w:szCs w:val="18"/>
          <w:color w:val="auto"/>
        </w:rPr>
        <w:t>. In the event that an Event of Default that has not been waived in accordance with the terms of this Agreement has occurred, Agent may, or at the direction of the Required Purchaser Agents shall, upon five (5) Business Days’ notice to MPI and Seller, to designate a new Servicer pursuant to the terms hereof (a “</w:t>
      </w:r>
      <w:r>
        <w:rPr>
          <w:rFonts w:ascii="Times New Roman" w:cs="Times New Roman" w:eastAsia="Times New Roman" w:hAnsi="Times New Roman"/>
          <w:sz w:val="18"/>
          <w:szCs w:val="18"/>
          <w:u w:val="single" w:color="auto"/>
          <w:color w:val="auto"/>
        </w:rPr>
        <w:t>Successor Notice</w:t>
      </w:r>
      <w:r>
        <w:rPr>
          <w:rFonts w:ascii="Times New Roman" w:cs="Times New Roman" w:eastAsia="Times New Roman" w:hAnsi="Times New Roman"/>
          <w:sz w:val="18"/>
          <w:szCs w:val="18"/>
          <w:color w:val="auto"/>
        </w:rPr>
        <w:t>”). Upon receipt of a Successor Notice, MPI agrees that it shall terminate its</w:t>
      </w:r>
    </w:p>
    <w:p>
      <w:pPr>
        <w:spacing w:after="0" w:line="200" w:lineRule="exact"/>
        <w:rPr>
          <w:sz w:val="20"/>
          <w:szCs w:val="20"/>
          <w:color w:val="auto"/>
        </w:rPr>
      </w:pPr>
    </w:p>
    <w:p>
      <w:pPr>
        <w:spacing w:after="0" w:line="36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77" w:name="page478"/>
    <w:bookmarkEnd w:id="477"/>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activities as Servicer hereunder in a manner that Agent reasonably believes will facilitate the transition of the performance of such activities to the new Servicer, and the new Servicer (which may be the Agent, any Purchaser Agent or their designee) shall assume each and all of MPI’s obligations to service and administer such Receivables, on the terms and subject to the conditions herein set forth, and MPI shall use best efforts to assist the new Servicer in assuming such obligations. Agent agrees not to give MPI a Successor Notice except after the occurrence of an Event of Default that has not been waived in accordance with the terms of this Agreement. The new Servicer shall sign an agreement, acceptable to the Agent and each Purchaser Agent, agreeing to be bound by the terms hereof as if such entity was a party hereto.</w:t>
      </w:r>
    </w:p>
    <w:p>
      <w:pPr>
        <w:spacing w:after="0" w:line="188" w:lineRule="exact"/>
        <w:rPr>
          <w:sz w:val="20"/>
          <w:szCs w:val="20"/>
          <w:color w:val="auto"/>
        </w:rPr>
      </w:pPr>
    </w:p>
    <w:p>
      <w:pPr>
        <w:jc w:val="both"/>
        <w:ind w:left="660" w:firstLine="645"/>
        <w:spacing w:after="0" w:line="261" w:lineRule="auto"/>
        <w:tabs>
          <w:tab w:leader="none" w:pos="175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Subservicers; Subcontracts</w:t>
      </w:r>
      <w:r>
        <w:rPr>
          <w:rFonts w:ascii="Times New Roman" w:cs="Times New Roman" w:eastAsia="Times New Roman" w:hAnsi="Times New Roman"/>
          <w:sz w:val="18"/>
          <w:szCs w:val="18"/>
          <w:color w:val="auto"/>
        </w:rPr>
        <w:t xml:space="preserve">. Servicer may not subcontract with any Person that is not an Affiliate of Servicer (excluding Seller) or otherwise delegate any of its duties or obligations hereunder except with the prior written consent of Agent and the Required Purchaser Agents,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such designation, delegation or subcontract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Servicer shall remain primarily and directly liable for the performance of all the duties and obligations of Servicer pursuant to the terms 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u w:val="single" w:color="auto"/>
          <w:color w:val="auto"/>
        </w:rPr>
        <w:t>Duties of Servicer</w:t>
      </w:r>
      <w:r>
        <w:rPr>
          <w:rFonts w:ascii="Times New Roman" w:cs="Times New Roman" w:eastAsia="Times New Roman" w:hAnsi="Times New Roman"/>
          <w:sz w:val="18"/>
          <w:szCs w:val="18"/>
          <w:color w:val="auto"/>
        </w:rPr>
        <w:t>. Each Purchaser, each Purchaser Agent and Agent hereby appoints as its agent Servicer, as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to enforce its rights and interests in and under the Pool Receivables, the Related Security and the related Contracts. Servicer shall take or cause to be taken all such actions as may be necessary or advisable to collect, administer and service each Pool Receivable from time to time with reasonable care and diligence and, in any event, with no less care and diligence than it uses in the collection, administration and servicing of its own assets, and in accordance with (i) applicable Laws and (ii) with the Credit and Collection Policies. Seller hereby acknowledges and agrees to this appointment of Servicer.</w:t>
      </w:r>
    </w:p>
    <w:p>
      <w:pPr>
        <w:spacing w:after="0" w:line="187" w:lineRule="exact"/>
        <w:rPr>
          <w:sz w:val="20"/>
          <w:szCs w:val="20"/>
          <w:color w:val="auto"/>
        </w:rPr>
      </w:pPr>
    </w:p>
    <w:p>
      <w:pPr>
        <w:jc w:val="both"/>
        <w:ind w:left="660" w:firstLine="645"/>
        <w:spacing w:after="0" w:line="254" w:lineRule="auto"/>
        <w:tabs>
          <w:tab w:leader="none" w:pos="172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Collections; Segregation</w:t>
      </w:r>
      <w:r>
        <w:rPr>
          <w:rFonts w:ascii="Times New Roman" w:cs="Times New Roman" w:eastAsia="Times New Roman" w:hAnsi="Times New Roman"/>
          <w:sz w:val="18"/>
          <w:szCs w:val="18"/>
          <w:color w:val="auto"/>
        </w:rPr>
        <w:t xml:space="preserve">. Servicer shall set aside and hold in trust Collections of Pool Receivables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but shall not be required (unless otherwise requested by Agent or any Purchaser Agent during the Liquidation Period or after the occurrence of any Event of Default that has not been waived in accordance with the terms of this Agreement or while any Unmatured Event of Default is continuing) to segregate the funds constituting such portions of such Collections prior to the remittance thereof in accordance with said Section so long as Servicer is able, continuously and on an equitable and consistent basis, to identify which funds are Collections on Pool Receivables. If instructed by Agent or any Purchaser Agent in writing during the Liquidation Period or after the occurrence of any Event of Default that has not been waived in accordance with the terms of this Agreement or while any Unmatured Event of Default is continuing, Servicer shall segregate and deposit with a bank designated by Agent in an account owned by Agent for the benefit of the Purchasers and the other Secured Parties, Purchasers’ (and the other Secured Parties’) share of Collections of Pool Receivables, not later than the first Business Day following receipt by Servicer of such Collections in immediately available funds.</w:t>
      </w:r>
    </w:p>
    <w:p>
      <w:pPr>
        <w:spacing w:after="0" w:line="200" w:lineRule="exact"/>
        <w:rPr>
          <w:sz w:val="20"/>
          <w:szCs w:val="20"/>
          <w:color w:val="auto"/>
        </w:rPr>
      </w:pPr>
    </w:p>
    <w:p>
      <w:pPr>
        <w:spacing w:after="0" w:line="37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78" w:name="page479"/>
    <w:bookmarkEnd w:id="478"/>
    <w:p>
      <w:pPr>
        <w:jc w:val="both"/>
        <w:ind w:left="660" w:firstLine="645"/>
        <w:spacing w:after="0" w:line="255" w:lineRule="auto"/>
        <w:tabs>
          <w:tab w:leader="none" w:pos="176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Receivables</w:t>
      </w:r>
      <w:r>
        <w:rPr>
          <w:rFonts w:ascii="Times New Roman" w:cs="Times New Roman" w:eastAsia="Times New Roman" w:hAnsi="Times New Roman"/>
          <w:sz w:val="18"/>
          <w:szCs w:val="18"/>
          <w:color w:val="auto"/>
        </w:rPr>
        <w:t xml:space="preserve">. So long as no Event of Default shall have occurred that has not been waived in accordance with the terms of this Agreement, MPI, while it is Servicer, may, in accordance with the Credit and Collection Policies and the servicing standards set forth herein, (i) extend the maturity or adjust the Unpaid Balance of any Defaulted Receivable as MPI may reasonably determine to be appropriate to maximize Collections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after giving effect to such extension of maturity or such adjustment, the sum of Purchasers’ Total Investment and the Required Reserves at such time shall not exceed the Net Pool Balance at such time, and (B) no such extension of maturity shall extend the maturity of any Receivable more than once or extend the due date thereof to a date later than 15 days after the original due date of such Receivable or shall otherwise make or be deemed to make any such Receivable current or otherwise modify the aging thereof, and (ii) adjust the Unpaid Balance of any Receivable to reflect the reductions or cancellations described in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2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and Records</w:t>
      </w:r>
      <w:r>
        <w:rPr>
          <w:rFonts w:ascii="Times New Roman" w:cs="Times New Roman" w:eastAsia="Times New Roman" w:hAnsi="Times New Roman"/>
          <w:sz w:val="18"/>
          <w:szCs w:val="18"/>
          <w:color w:val="auto"/>
        </w:rPr>
        <w:t>. Seller shall deliver (and cause Originator to deliver) to Servicer, and Servicer shall hold in trust for Seller, Originator, Agent, each Purchaser Agent, each Purchaser and each other Secured Party in accordance with their respective interests, all Records (and after the occurrence of any Event of Default, shall deliver the same to Agent and any successor Servicer promptly upon Agent’s or any Purchaser Agent’s written request), all documents, instruments and records (including, without limitation, computer tapes or disks) that evidence or relate to Pool Receivables.</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2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Duties to Seller</w:t>
      </w:r>
      <w:r>
        <w:rPr>
          <w:rFonts w:ascii="Times New Roman" w:cs="Times New Roman" w:eastAsia="Times New Roman" w:hAnsi="Times New Roman"/>
          <w:sz w:val="18"/>
          <w:szCs w:val="18"/>
          <w:color w:val="auto"/>
        </w:rPr>
        <w:t xml:space="preserve">. Servicer shall, promptly following receipt, turn over to Seller the collections of any Receivable that is not a Pool Receivable, a Related Asset or any other property included in the grant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Servicer, if other than MPI (or any of its Affiliates), shall, as soon as practicable upon demand, deliver to Seller (A) all documents, instruments, books, records, purchase orders, agreements, reports and other information (including computer programs, tapes, disks, other information storage media, data processing software and related property and rights) in its possession that evidence or relate to Receivables of Seller other than Pool Receivables and the Obligors of such Receivables, and (B) copies of all Records in its possession.</w:t>
      </w:r>
    </w:p>
    <w:p>
      <w:pPr>
        <w:spacing w:after="0" w:line="187"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Servicer’s authorization as such under this Agreement shall terminate upon the Final Payout Date.</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682"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Seller hereby grants to Servicer an irrevocable power of attorney, with full power of substitution, coupled with an interest, to take in the name of Seller any and all steps which are necessary or advisable to endorse, negotiate or otherwise realize on any writing or other right of any kind held or transmitted by Seller or transmitted or received by Seller in connection with any Pool Receivable or under the related Records.</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u w:val="single" w:color="auto"/>
          <w:color w:val="auto"/>
        </w:rPr>
        <w:t>Resignation of MPI as Servicer</w:t>
      </w:r>
      <w:r>
        <w:rPr>
          <w:rFonts w:ascii="Times New Roman" w:cs="Times New Roman" w:eastAsia="Times New Roman" w:hAnsi="Times New Roman"/>
          <w:sz w:val="18"/>
          <w:szCs w:val="18"/>
          <w:color w:val="auto"/>
        </w:rPr>
        <w:t>. MPI shall not resign in its capacity as Servicer hereunder without the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and each Purchaser Agent, which consent shall be given or withheld in the sole and absolute discretion of the Agent and each Purchaser Agent.</w:t>
      </w:r>
    </w:p>
    <w:p>
      <w:pPr>
        <w:spacing w:after="0" w:line="200" w:lineRule="exact"/>
        <w:rPr>
          <w:sz w:val="20"/>
          <w:szCs w:val="20"/>
          <w:color w:val="auto"/>
        </w:rPr>
      </w:pPr>
    </w:p>
    <w:p>
      <w:pPr>
        <w:spacing w:after="0" w:line="347"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79" w:name="page480"/>
    <w:bookmarkEnd w:id="47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u w:val="single" w:color="auto"/>
          <w:color w:val="auto"/>
        </w:rPr>
        <w:t>Rights of Agent</w:t>
      </w:r>
      <w:r>
        <w:rPr>
          <w:rFonts w:ascii="Times New Roman" w:cs="Times New Roman" w:eastAsia="Times New Roman" w:hAnsi="Times New Roman"/>
          <w:sz w:val="18"/>
          <w:szCs w:val="18"/>
          <w:color w:val="auto"/>
        </w:rPr>
        <w:t>. In addition to all of its other rights herein including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Articles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under the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or at Law or in equity, Agent shall have the other following rights set forth in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60" w:firstLine="645"/>
        <w:spacing w:after="0" w:line="255" w:lineRule="auto"/>
        <w:tabs>
          <w:tab w:leader="none" w:pos="1701"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Obligors</w:t>
      </w:r>
      <w:r>
        <w:rPr>
          <w:rFonts w:ascii="Times New Roman" w:cs="Times New Roman" w:eastAsia="Times New Roman" w:hAnsi="Times New Roman"/>
          <w:sz w:val="18"/>
          <w:szCs w:val="18"/>
          <w:color w:val="auto"/>
        </w:rPr>
        <w:t>. At any time after the occurrence of any of the following that has not been waived in accordance with the terms of this Agreement (i) an Event of Default or (ii) the commencement of the Liquidation Period (A) Agent may in its sole discretion, or shall at the direction of any Purchaser Agent, notify the Obligors of Pool Receivables, or any of them, of the ownership of the Asset Interest by Agent for the benefit of Purchasers, and instruct them that payments on the Pool Receivables are to be made to, and will only be effective if made to, or as otherwise instructed by, Agent and (B) Seller shall, at Agent’s or any Purchaser Agent’s request and at Seller’s expense, give notice of Agent’s ownership and security interest in the Pool Receivables for the benefit of the Purchasers to each said Obligor and instruct them that payments on the Pool Receivables are to be made to, and will only be effective if made to, or as otherwise instructed in writing by, Agent.</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1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Lock-Box Banks</w:t>
      </w:r>
      <w:r>
        <w:rPr>
          <w:rFonts w:ascii="Times New Roman" w:cs="Times New Roman" w:eastAsia="Times New Roman" w:hAnsi="Times New Roman"/>
          <w:sz w:val="18"/>
          <w:szCs w:val="18"/>
          <w:color w:val="auto"/>
        </w:rPr>
        <w:t>. At any time after the occurrence of any of the following that has not been waived in accordance with the terms of this Agreement (i) an Event of Default or (iii) the commencement of the Liquidation Period, Agent may or shall at the direction of any Purchaser Agent, and is hereby authorized to, give notice to the Lock-Box Banks, as provided in the Lock-Box Agreements, of the assumption by Agent of exclusive dominion and control over the lock-boxes and related accounts for the benefit of the Purchasers, and Seller and Servicer shall take any further action that Agent may reasonably request to effect such assumption.</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171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At any time after the occurrence of any of the following that has not been waived in accordance with the terms of this Agreement (i) an Event of Default or (ii) the commencement of the Liquidation Period, Seller shall, (A) at Agent’s or any Purchaser Agent’s request and at Seller’s expense, assemble all of the Records necessary or desirable to collect or otherwise enforce the Pool Receivables and the other Collateral and deliver such Records to or at the direction of Agent and (B) at the request of Agent, any Purchaser Agent or their respective designee, exercise or enforce any of their respective rights hereunder, under any other Transaction Document, under any Pool Receivable or under any Related Asset (to the extent permitted hereunder or thereunder). Without limiting the generality of the foregoing, Seller shall upon the request of Agent or its designee and at Seller’s expense when permitted to take the actions described in the preceding sentence, mark conspicuously each Contract evidencing each Pool Receivable with a legend, reasonably acceptable to Agent, evidencing that the Asset Interest has been sold in accordance with this Agreement.</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12"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Financing Statements; Performance by Agent</w:t>
      </w:r>
      <w:r>
        <w:rPr>
          <w:rFonts w:ascii="Times New Roman" w:cs="Times New Roman" w:eastAsia="Times New Roman" w:hAnsi="Times New Roman"/>
          <w:sz w:val="18"/>
          <w:szCs w:val="18"/>
          <w:color w:val="auto"/>
        </w:rPr>
        <w:t>. Seller hereby authorizes Agent or its designee to file one or more financing or continuation statements, and amendments thereto and assignments thereof, or any similar instruments in any relevant jurisdiction relative to all or any of the Pool Receivables and the Related Assets now existing or hereafter arising in the name of Seller. If Seller fails to perform any of its agreements or obligations under this Agreement or any other Transaction Document,</w:t>
      </w:r>
    </w:p>
    <w:p>
      <w:pPr>
        <w:spacing w:after="0" w:line="200" w:lineRule="exact"/>
        <w:rPr>
          <w:sz w:val="20"/>
          <w:szCs w:val="20"/>
          <w:color w:val="auto"/>
        </w:rPr>
      </w:pPr>
    </w:p>
    <w:p>
      <w:pPr>
        <w:spacing w:after="0" w:line="36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1" w:right="239" w:bottom="1440" w:gutter="0" w:footer="0" w:header="0"/>
        </w:sectPr>
      </w:pPr>
    </w:p>
    <w:bookmarkStart w:id="480" w:name="page481"/>
    <w:bookmarkEnd w:id="480"/>
    <w:p>
      <w:pPr>
        <w:ind w:left="660"/>
        <w:spacing w:after="0" w:line="282" w:lineRule="auto"/>
        <w:rPr>
          <w:sz w:val="20"/>
          <w:szCs w:val="20"/>
          <w:color w:val="auto"/>
        </w:rPr>
      </w:pPr>
      <w:r>
        <w:rPr>
          <w:rFonts w:ascii="Times New Roman" w:cs="Times New Roman" w:eastAsia="Times New Roman" w:hAnsi="Times New Roman"/>
          <w:sz w:val="18"/>
          <w:szCs w:val="18"/>
          <w:color w:val="auto"/>
        </w:rPr>
        <w:t xml:space="preserve">Agent or its designee may (but shall not be required to) itself perform, or cause performance of, such agreement or obligation, and the expenses of Agent or its designee incurred in connection therewith shall be payable by Seller as provided in </w:t>
      </w:r>
      <w:r>
        <w:rPr>
          <w:rFonts w:ascii="Times New Roman" w:cs="Times New Roman" w:eastAsia="Times New Roman" w:hAnsi="Times New Roman"/>
          <w:sz w:val="18"/>
          <w:szCs w:val="18"/>
          <w:u w:val="single" w:color="auto"/>
          <w:color w:val="auto"/>
        </w:rPr>
        <w:t>Section 13.6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8.5</w:t>
      </w:r>
      <w:r>
        <w:rPr>
          <w:sz w:val="20"/>
          <w:szCs w:val="20"/>
          <w:color w:val="auto"/>
        </w:rPr>
        <w:tab/>
      </w:r>
      <w:r>
        <w:rPr>
          <w:rFonts w:ascii="Times New Roman" w:cs="Times New Roman" w:eastAsia="Times New Roman" w:hAnsi="Times New Roman"/>
          <w:sz w:val="17"/>
          <w:szCs w:val="17"/>
          <w:u w:val="single" w:color="auto"/>
          <w:color w:val="auto"/>
        </w:rPr>
        <w:t>Responsibilities of Servicer</w:t>
      </w:r>
      <w:r>
        <w:rPr>
          <w:rFonts w:ascii="Times New Roman" w:cs="Times New Roman" w:eastAsia="Times New Roman" w:hAnsi="Times New Roman"/>
          <w:sz w:val="17"/>
          <w:szCs w:val="17"/>
          <w:color w:val="auto"/>
        </w:rPr>
        <w:t>. Anything herein to the contrary notwithstanding:</w:t>
      </w:r>
    </w:p>
    <w:p>
      <w:pPr>
        <w:spacing w:after="0" w:line="229" w:lineRule="exact"/>
        <w:rPr>
          <w:sz w:val="20"/>
          <w:szCs w:val="20"/>
          <w:color w:val="auto"/>
        </w:rPr>
      </w:pPr>
    </w:p>
    <w:p>
      <w:pPr>
        <w:jc w:val="both"/>
        <w:ind w:left="660" w:firstLine="645"/>
        <w:spacing w:after="0" w:line="266" w:lineRule="auto"/>
        <w:tabs>
          <w:tab w:leader="none" w:pos="1688"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Servicer shall perform all of its obligations under the Contracts, so long as it is an Affiliate of Seller, to the same extent as if the Asset Interest had not been sold hereunder or under the Sale Agreement and the exercise by Agent or its designee of its rights hereunder shall not relieve Servicer from such obligations.</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2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None of Agent, any Purchaser Agent, any LOC Issuer or any Purchaser shall have any obligation or liability with respect to any Pool Receivables or Related Assets related thereto, nor shall any of them be obligated to perform any of the obligations of Originator, Servicer or Seller thereunder.</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8.6 </w:t>
      </w:r>
      <w:r>
        <w:rPr>
          <w:rFonts w:ascii="Times New Roman" w:cs="Times New Roman" w:eastAsia="Times New Roman" w:hAnsi="Times New Roman"/>
          <w:sz w:val="18"/>
          <w:szCs w:val="18"/>
          <w:u w:val="single" w:color="auto"/>
          <w:color w:val="auto"/>
        </w:rPr>
        <w:t>Further Action Evidencing Purchases and Reinvestments</w:t>
      </w:r>
      <w:r>
        <w:rPr>
          <w:rFonts w:ascii="Times New Roman" w:cs="Times New Roman" w:eastAsia="Times New Roman" w:hAnsi="Times New Roman"/>
          <w:sz w:val="18"/>
          <w:szCs w:val="18"/>
          <w:color w:val="auto"/>
        </w:rPr>
        <w:t>. Seller agrees that from time to time, at its expense, it shall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Servicer to) promptly execute and deliver all further instruments and documents, and take all further actions, that Agent or its designee may reasonably request or that are necessary in order to perfect, protect or more fully evidence the transactions contemplated by the other Transaction Documents, the Purchases hereunder, the resulting Asset Interest and each lock-box account of Seller at a Lock-Box Bank and all amounts on deposit therein.</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u w:val="single" w:color="auto"/>
          <w:color w:val="auto"/>
        </w:rPr>
        <w:t>Application of Collections</w:t>
      </w:r>
      <w:r>
        <w:rPr>
          <w:rFonts w:ascii="Times New Roman" w:cs="Times New Roman" w:eastAsia="Times New Roman" w:hAnsi="Times New Roman"/>
          <w:sz w:val="18"/>
          <w:szCs w:val="18"/>
          <w:color w:val="auto"/>
        </w:rPr>
        <w:t>. Unless Agent may, with consent of the Required Purchaser Agents, or shall, upon the direction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Purchaser Agents, instruct otherwise, any payment by an Obligor in respect of any indebtedness owed by it to Seller shall, except as otherwise specified in writing or otherwise by such Obligor, required by Law or by the underlying Contract,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as a Collection of any Pool Receivable or Receivables then outstanding of such Obligor, with such Pool Receivables being paid in the order of the oldest first,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any other indebtedness of such Obligor.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INTEREST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To secure all obligations of Seller arising in connection with this Agreement and each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 whether now or hereafter existing, due or to become due, direct or indirect, or absolute or contingent, including, all Indemnified Amounts, payments on account of Collections received or deemed to be received and fees and expenses, in each case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amounts thereof, Seller hereby assigns and pledges to Agent, for the benefit of the Secured Parties, and hereby grants to Agent, for the benefit of the Secured Parties, a security interest in all of the following: all of Seller’s right, title and interest now or hereafter existing in, to and under all of its assets, whether now owned or hereafter acquired, and wherever located (whether or not in the possession or control of Seller), including all of its right, title and interest in, to and under each</w:t>
      </w:r>
    </w:p>
    <w:p>
      <w:pPr>
        <w:spacing w:after="0" w:line="200" w:lineRule="exact"/>
        <w:rPr>
          <w:sz w:val="20"/>
          <w:szCs w:val="20"/>
          <w:color w:val="auto"/>
        </w:rPr>
      </w:pPr>
    </w:p>
    <w:p>
      <w:pPr>
        <w:spacing w:after="0" w:line="37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81" w:name="page482"/>
    <w:bookmarkEnd w:id="481"/>
    <w:p>
      <w:pPr>
        <w:jc w:val="both"/>
        <w:spacing w:after="0" w:line="266" w:lineRule="auto"/>
        <w:rPr>
          <w:sz w:val="20"/>
          <w:szCs w:val="20"/>
          <w:color w:val="auto"/>
        </w:rPr>
      </w:pPr>
      <w:r>
        <w:rPr>
          <w:rFonts w:ascii="Times New Roman" w:cs="Times New Roman" w:eastAsia="Times New Roman" w:hAnsi="Times New Roman"/>
          <w:sz w:val="18"/>
          <w:szCs w:val="18"/>
          <w:color w:val="auto"/>
        </w:rPr>
        <w:t>asset in the Asset Interest and each of the following, in each case, whether now owned or existing, hereafter arising, acquired or originated, or in which the Seller now or hereafter has any rights, and wherever so located (whether or not in the possession or control of Seller) and all proceeds of any of the foregoing (collectively,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all Receivables;</w:t>
      </w:r>
    </w:p>
    <w:p>
      <w:pPr>
        <w:spacing w:after="0" w:line="225"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18"/>
          <w:szCs w:val="18"/>
          <w:color w:val="auto"/>
        </w:rPr>
        <w:t>(II)</w:t>
        <w:tab/>
        <w:t>the Related Security;</w:t>
      </w:r>
    </w:p>
    <w:p>
      <w:pPr>
        <w:spacing w:after="0" w:line="225" w:lineRule="exact"/>
        <w:rPr>
          <w:sz w:val="20"/>
          <w:szCs w:val="20"/>
          <w:color w:val="auto"/>
        </w:rPr>
      </w:pPr>
    </w:p>
    <w:p>
      <w:pPr>
        <w:ind w:left="1300" w:right="8220" w:firstLine="5"/>
        <w:spacing w:after="0" w:line="530" w:lineRule="auto"/>
        <w:tabs>
          <w:tab w:leader="none" w:pos="1825"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Related Assets; (IV) the Collections;</w:t>
      </w:r>
    </w:p>
    <w:p>
      <w:pPr>
        <w:spacing w:after="0" w:line="1"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(V)</w:t>
      </w:r>
      <w:r>
        <w:rPr>
          <w:sz w:val="20"/>
          <w:szCs w:val="20"/>
          <w:color w:val="auto"/>
        </w:rPr>
        <w:tab/>
      </w:r>
      <w:r>
        <w:rPr>
          <w:rFonts w:ascii="Times New Roman" w:cs="Times New Roman" w:eastAsia="Times New Roman" w:hAnsi="Times New Roman"/>
          <w:sz w:val="17"/>
          <w:szCs w:val="17"/>
          <w:color w:val="auto"/>
        </w:rPr>
        <w:t>all Accounts;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w:t>
            </w:r>
          </w:p>
        </w:tc>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Chattel Paper;</w:t>
            </w:r>
          </w:p>
        </w:tc>
        <w:tc>
          <w:tcPr>
            <w:tcW w:w="3300" w:type="dxa"/>
            <w:vAlign w:val="bottom"/>
          </w:tcPr>
          <w:p>
            <w:pPr>
              <w:spacing w:after="0"/>
              <w:rPr>
                <w:sz w:val="20"/>
                <w:szCs w:val="20"/>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(VII)</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 Contracts;</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(VIII)</w:t>
            </w:r>
          </w:p>
        </w:tc>
        <w:tc>
          <w:tcPr>
            <w:tcW w:w="1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 Deposit Accounts;</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(IX)</w:t>
            </w:r>
          </w:p>
        </w:tc>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Documents;</w:t>
            </w:r>
          </w:p>
        </w:tc>
        <w:tc>
          <w:tcPr>
            <w:tcW w:w="3300" w:type="dxa"/>
            <w:vAlign w:val="bottom"/>
          </w:tcPr>
          <w:p>
            <w:pPr>
              <w:spacing w:after="0"/>
              <w:rPr>
                <w:sz w:val="24"/>
                <w:szCs w:val="24"/>
                <w:color w:val="auto"/>
              </w:rPr>
            </w:pPr>
          </w:p>
        </w:tc>
      </w:tr>
      <w:tr>
        <w:trPr>
          <w:trHeight w:val="432"/>
        </w:trPr>
        <w:tc>
          <w:tcPr>
            <w:tcW w:w="74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(X)  all Payment Intangibles;</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(XI)</w:t>
            </w:r>
          </w:p>
        </w:tc>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all General Intangibles;</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(XII)</w:t>
            </w: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 Instruments;</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(XIII)</w:t>
            </w:r>
          </w:p>
        </w:tc>
        <w:tc>
          <w:tcPr>
            <w:tcW w:w="1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 Inventory;</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(XIV)</w:t>
            </w:r>
          </w:p>
        </w:tc>
        <w:tc>
          <w:tcPr>
            <w:tcW w:w="100" w:type="dxa"/>
            <w:vAlign w:val="bottom"/>
          </w:tcPr>
          <w:p>
            <w:pPr>
              <w:spacing w:after="0"/>
              <w:rPr>
                <w:sz w:val="24"/>
                <w:szCs w:val="24"/>
                <w:color w:val="auto"/>
              </w:rPr>
            </w:pPr>
          </w:p>
        </w:tc>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 Investment Property;</w:t>
            </w:r>
          </w:p>
        </w:tc>
        <w:tc>
          <w:tcPr>
            <w:tcW w:w="3300" w:type="dxa"/>
            <w:vAlign w:val="bottom"/>
          </w:tcPr>
          <w:p>
            <w:pPr>
              <w:spacing w:after="0"/>
              <w:rPr>
                <w:sz w:val="24"/>
                <w:szCs w:val="24"/>
                <w:color w:val="auto"/>
              </w:rPr>
            </w:pPr>
          </w:p>
        </w:tc>
      </w:tr>
      <w:tr>
        <w:trPr>
          <w:trHeight w:val="432"/>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(XV)</w:t>
            </w:r>
          </w:p>
        </w:tc>
        <w:tc>
          <w:tcPr>
            <w:tcW w:w="1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all letter of credit rights and supporting obligations;</w:t>
            </w:r>
          </w:p>
        </w:tc>
        <w:tc>
          <w:tcPr>
            <w:tcW w:w="3300" w:type="dxa"/>
            <w:vAlign w:val="bottom"/>
          </w:tcPr>
          <w:p>
            <w:pPr>
              <w:spacing w:after="0"/>
              <w:rPr>
                <w:sz w:val="24"/>
                <w:szCs w:val="24"/>
                <w:color w:val="auto"/>
              </w:rPr>
            </w:pPr>
          </w:p>
        </w:tc>
      </w:tr>
      <w:tr>
        <w:trPr>
          <w:trHeight w:val="414"/>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(XVI)</w:t>
            </w:r>
          </w:p>
        </w:tc>
        <w:tc>
          <w:tcPr>
            <w:tcW w:w="100" w:type="dxa"/>
            <w:vAlign w:val="bottom"/>
          </w:tcPr>
          <w:p>
            <w:pPr>
              <w:spacing w:after="0"/>
              <w:rPr>
                <w:sz w:val="24"/>
                <w:szCs w:val="24"/>
                <w:color w:val="auto"/>
              </w:rPr>
            </w:pPr>
          </w:p>
        </w:tc>
        <w:tc>
          <w:tcPr>
            <w:tcW w:w="9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all other assets in the Asset Interest, all rights, interests, remedies and privileges of the Seller relating to any of the foregoing</w:t>
            </w:r>
          </w:p>
        </w:tc>
      </w:tr>
      <w:tr>
        <w:trPr>
          <w:trHeight w:val="234"/>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(including the right to sue for past, present or future infringement of any or all of the foregoing);</w:t>
            </w:r>
          </w:p>
        </w:tc>
        <w:tc>
          <w:tcPr>
            <w:tcW w:w="3300" w:type="dxa"/>
            <w:vAlign w:val="bottom"/>
          </w:tcPr>
          <w:p>
            <w:pPr>
              <w:spacing w:after="0"/>
              <w:rPr>
                <w:sz w:val="20"/>
                <w:szCs w:val="20"/>
                <w:color w:val="auto"/>
              </w:rPr>
            </w:pPr>
          </w:p>
        </w:tc>
      </w:tr>
      <w:tr>
        <w:trPr>
          <w:trHeight w:val="432"/>
        </w:trPr>
        <w:tc>
          <w:tcPr>
            <w:tcW w:w="1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(XVII)</w:t>
            </w: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Sale Agreement and all rights and remedies of the Seller thereunder;</w:t>
            </w:r>
          </w:p>
        </w:tc>
        <w:tc>
          <w:tcPr>
            <w:tcW w:w="3300" w:type="dxa"/>
            <w:vAlign w:val="bottom"/>
          </w:tcPr>
          <w:p>
            <w:pPr>
              <w:spacing w:after="0"/>
              <w:rPr>
                <w:sz w:val="24"/>
                <w:szCs w:val="24"/>
                <w:color w:val="auto"/>
              </w:rPr>
            </w:pPr>
          </w:p>
        </w:tc>
      </w:tr>
      <w:tr>
        <w:trPr>
          <w:trHeight w:val="414"/>
        </w:trPr>
        <w:tc>
          <w:tcPr>
            <w:tcW w:w="1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6"/>
              </w:rPr>
              <w:t>(XVIII)</w:t>
            </w:r>
          </w:p>
        </w:tc>
        <w:tc>
          <w:tcPr>
            <w:tcW w:w="9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each lock-box account or other bank account of the Seller including any related lock-box and all amounts, items, instruments or</w:t>
            </w:r>
          </w:p>
        </w:tc>
      </w:tr>
      <w:tr>
        <w:trPr>
          <w:trHeight w:val="234"/>
        </w:trPr>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property on deposit therein; and</w:t>
            </w:r>
          </w:p>
        </w:tc>
        <w:tc>
          <w:tcPr>
            <w:tcW w:w="3300" w:type="dxa"/>
            <w:vAlign w:val="bottom"/>
          </w:tcPr>
          <w:p>
            <w:pPr>
              <w:spacing w:after="0"/>
              <w:rPr>
                <w:sz w:val="20"/>
                <w:szCs w:val="20"/>
                <w:color w:val="auto"/>
              </w:rPr>
            </w:pPr>
          </w:p>
        </w:tc>
      </w:tr>
      <w:tr>
        <w:trPr>
          <w:trHeight w:val="414"/>
        </w:trPr>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(XIX)</w:t>
            </w:r>
          </w:p>
        </w:tc>
        <w:tc>
          <w:tcPr>
            <w:tcW w:w="100" w:type="dxa"/>
            <w:vAlign w:val="bottom"/>
          </w:tcPr>
          <w:p>
            <w:pPr>
              <w:spacing w:after="0"/>
              <w:rPr>
                <w:sz w:val="24"/>
                <w:szCs w:val="24"/>
                <w:color w:val="auto"/>
              </w:rPr>
            </w:pPr>
          </w:p>
        </w:tc>
        <w:tc>
          <w:tcPr>
            <w:tcW w:w="9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the extent not otherwise included, all products and “proceeds” (as defined in the UCC) of each of the foregoing and all</w:t>
            </w:r>
          </w:p>
        </w:tc>
      </w:tr>
      <w:tr>
        <w:trPr>
          <w:trHeight w:val="234"/>
        </w:trPr>
        <w:tc>
          <w:tcPr>
            <w:tcW w:w="10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accessions to, substitutions and replacements for, and rents, profits and products of each of the foregoing including</w:t>
            </w:r>
          </w:p>
        </w:tc>
      </w:tr>
      <w:tr>
        <w:trPr>
          <w:trHeight w:val="85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72</w:t>
            </w:r>
          </w:p>
        </w:tc>
        <w:tc>
          <w:tcPr>
            <w:tcW w:w="3300" w:type="dxa"/>
            <w:vAlign w:val="bottom"/>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Mylan</w:t>
            </w:r>
          </w:p>
        </w:tc>
      </w:tr>
      <w:tr>
        <w:trPr>
          <w:trHeight w:val="270"/>
        </w:trPr>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60" w:type="dxa"/>
            <w:vAlign w:val="bottom"/>
          </w:tcPr>
          <w:p>
            <w:pPr>
              <w:spacing w:after="0"/>
              <w:rPr>
                <w:sz w:val="23"/>
                <w:szCs w:val="23"/>
                <w:color w:val="auto"/>
              </w:rPr>
            </w:pPr>
          </w:p>
        </w:tc>
        <w:tc>
          <w:tcPr>
            <w:tcW w:w="3300" w:type="dxa"/>
            <w:vAlign w:val="bottom"/>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tc>
      </w:tr>
    </w:tbl>
    <w:p>
      <w:pPr>
        <w:sectPr>
          <w:pgSz w:w="11900" w:h="16838" w:orient="portrait"/>
          <w:cols w:equalWidth="0" w:num="1">
            <w:col w:w="11420"/>
          </w:cols>
          <w:pgMar w:left="240" w:top="364" w:right="239" w:bottom="1440" w:gutter="0" w:footer="0" w:header="0"/>
        </w:sectPr>
      </w:pPr>
    </w:p>
    <w:bookmarkStart w:id="482" w:name="page483"/>
    <w:bookmarkEnd w:id="482"/>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insurance proceeds), products, distributions (whether in money, securities or other property) and collections from or with respect to any of the foregoing.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Seller hereby authorizes the filing of financing statements, including those filed under </w:t>
      </w:r>
      <w:r>
        <w:rPr>
          <w:rFonts w:ascii="Times New Roman" w:cs="Times New Roman" w:eastAsia="Times New Roman" w:hAnsi="Times New Roman"/>
          <w:sz w:val="18"/>
          <w:szCs w:val="18"/>
          <w:u w:val="single" w:color="auto"/>
          <w:color w:val="auto"/>
        </w:rPr>
        <w:t>Section 8.4(d)</w:t>
      </w:r>
      <w:r>
        <w:rPr>
          <w:rFonts w:ascii="Times New Roman" w:cs="Times New Roman" w:eastAsia="Times New Roman" w:hAnsi="Times New Roman"/>
          <w:sz w:val="18"/>
          <w:szCs w:val="18"/>
          <w:color w:val="auto"/>
        </w:rPr>
        <w:t xml:space="preserve">, describing the collateral covered thereby as “all of debtor’s personal property and assets” or words to that effect, notwithstanding that such wording may be broader in scope than the collateral described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This Agreement shall constitute a security agreement under applicable Law.</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the security interest granted, and to the assignment effected,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as well as to the Purchases, Reinvestments and the Asset Interest hereunder.</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following events shall be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hereunder (unless they are waived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w:t>
      </w:r>
    </w:p>
    <w:p>
      <w:pPr>
        <w:spacing w:after="0" w:line="159" w:lineRule="exact"/>
        <w:rPr>
          <w:sz w:val="20"/>
          <w:szCs w:val="20"/>
          <w:color w:val="auto"/>
        </w:rPr>
      </w:pPr>
    </w:p>
    <w:p>
      <w:pPr>
        <w:ind w:left="1680" w:hanging="375"/>
        <w:spacing w:after="0"/>
        <w:tabs>
          <w:tab w:leader="none" w:pos="16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events:</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313"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Servicer, Originator, any New Owner or Performance Guarantor shall fail to perform or observe any term, covenant or agreement as and when required hereunder or under any other Transaction Document (other than as referred to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below) and such failure shall remain unremedied for ten (10) Business Days following written notice thereof or Seller, Servicer, Originator, any New Owner or Performance Guarantor otherwise having knowledge thereof;</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6" w:lineRule="auto"/>
        <w:tabs>
          <w:tab w:leader="none" w:pos="2357"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following shall occur: (A) Seller, Performance Guarantor, Servicer or Originator shall fail to make any payment or deposit or transfer of principal to be made by it hereunder or under any other Transaction Document as and when due (including with respect to a repayment of any draw on a Letter of Credit), (B) Seller, Performance Guarantor, Servicer or Originator shall fail to make any payment or deposit or transfer other than of principal to be made by it hereunder or under any other Transaction Document as and when due or (C) Seller or Servicer, as applicable, shall breach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7.1(l)(ii)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7.6(e)</w:t>
      </w:r>
      <w:r>
        <w:rPr>
          <w:rFonts w:ascii="Times New Roman" w:cs="Times New Roman" w:eastAsia="Times New Roman" w:hAnsi="Times New Roman"/>
          <w:sz w:val="18"/>
          <w:szCs w:val="18"/>
          <w:color w:val="auto"/>
        </w:rPr>
        <w:t xml:space="preserve"> or fail to deliver any Information Package when due and, in each case, such breach shall continue for two (2) Business Days; or</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0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representation or warranty made or deemed to be made by Seller, Servicer, Performance Guarantor, any New Owner or Originator under or in connection with any Transaction Document (other than those set forth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below for which no grace period shall apply), any Information Package, other information delivered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or any other information or report delivered by any such Person pursuant hereto or pursuant to such other Transaction Document shall prove to</w:t>
      </w:r>
    </w:p>
    <w:p>
      <w:pPr>
        <w:spacing w:after="0" w:line="200" w:lineRule="exact"/>
        <w:rPr>
          <w:sz w:val="20"/>
          <w:szCs w:val="20"/>
          <w:color w:val="auto"/>
        </w:rPr>
      </w:pPr>
    </w:p>
    <w:p>
      <w:pPr>
        <w:spacing w:after="0" w:line="36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83" w:name="page484"/>
    <w:bookmarkEnd w:id="483"/>
    <w:p>
      <w:pPr>
        <w:spacing w:after="0" w:line="282" w:lineRule="auto"/>
        <w:rPr>
          <w:sz w:val="20"/>
          <w:szCs w:val="20"/>
          <w:color w:val="auto"/>
        </w:rPr>
      </w:pPr>
      <w:r>
        <w:rPr>
          <w:rFonts w:ascii="Times New Roman" w:cs="Times New Roman" w:eastAsia="Times New Roman" w:hAnsi="Times New Roman"/>
          <w:sz w:val="18"/>
          <w:szCs w:val="18"/>
          <w:color w:val="auto"/>
        </w:rPr>
        <w:t>have been false or incorrect in any material respect when made or deemed made or delivered, and, if capable of cure, such representation or warranty, or such information or report, shall continue to be incorrect or untrue for five (5) Business Days;</w:t>
      </w:r>
    </w:p>
    <w:p>
      <w:pPr>
        <w:spacing w:after="0" w:line="162" w:lineRule="exact"/>
        <w:rPr>
          <w:sz w:val="20"/>
          <w:szCs w:val="20"/>
          <w:color w:val="auto"/>
        </w:rPr>
      </w:pPr>
    </w:p>
    <w:p>
      <w:pPr>
        <w:jc w:val="both"/>
        <w:ind w:firstLine="645"/>
        <w:spacing w:after="0" w:line="252" w:lineRule="auto"/>
        <w:tabs>
          <w:tab w:leader="none" w:pos="102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Seller shall fail to pay any principal of or premium or interest on any Debt, or (ii) Servicer, Originator, Performance Guarantor, MPI or any Material Subsidiary of MPI or Performance Guarantor shall fail to pay any principal of or premium or interest on any Debt that, in the aggregate, constitutes Material Indebtedness (other than Swap Documents), in any such case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when the same becomes due and payable (whether by scheduled maturity, required prepayment, acceleration, demand or otherwise), and such failure shall continue after the applicable grace period, if any, specified in the agreement or instrument relating to any such Debt or (iii) an “early termination date” (or equivalent event) shall occur under any Swap Agreement resulting from any event of default or “termination event” under such Swap Agreement as to which the Servicer, Originator, Performance Guarantor, MPI or any Material Subsidiary of MPI or Performance Guarantor is the “defaulting party” or “affected party” (or equivalent term) and, in either event, the termination value with respect to any such Swap Agreement owed by the Servicer, Originator, Performance Guarantor, MPI or any Material Subsidiary of MPI or Performance Guarantor as a result thereof is greater than $200,000,000, and such party fails to pay such termination value when due after applicable grace periods;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with the giving of notice to permit the acceleration of, the maturity of such Debt (or the termination of any undrawn commitment under any contractual obligation pursuant to which any such Debt could otherwise have been incurred); or any such Debt shall be declared to be due and payable, or required to be prepaid or otherwise accelerated (other than by a regularly scheduled prepayment), prior to the stated maturity thereof;</w:t>
      </w:r>
    </w:p>
    <w:p>
      <w:pPr>
        <w:spacing w:after="0" w:line="197" w:lineRule="exact"/>
        <w:rPr>
          <w:rFonts w:ascii="Times New Roman" w:cs="Times New Roman" w:eastAsia="Times New Roman" w:hAnsi="Times New Roman"/>
          <w:sz w:val="18"/>
          <w:szCs w:val="18"/>
          <w:color w:val="auto"/>
        </w:rPr>
      </w:pPr>
    </w:p>
    <w:p>
      <w:pPr>
        <w:ind w:right="20" w:firstLine="645"/>
        <w:spacing w:after="0" w:line="282" w:lineRule="auto"/>
        <w:tabs>
          <w:tab w:leader="none" w:pos="106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Bankruptcy shall have occurred with respect to Seller, Originator, Servicer, Performance Guarantor, MPI or any Material Subsidiary of MPI or Performance Guarantor;</w:t>
      </w:r>
    </w:p>
    <w:p>
      <w:pPr>
        <w:spacing w:after="0" w:line="161" w:lineRule="exact"/>
        <w:rPr>
          <w:rFonts w:ascii="Times New Roman" w:cs="Times New Roman" w:eastAsia="Times New Roman" w:hAnsi="Times New Roman"/>
          <w:sz w:val="18"/>
          <w:szCs w:val="18"/>
          <w:color w:val="auto"/>
        </w:rPr>
      </w:pPr>
    </w:p>
    <w:p>
      <w:pPr>
        <w:jc w:val="both"/>
        <w:ind w:firstLine="645"/>
        <w:spacing w:after="0" w:line="255" w:lineRule="auto"/>
        <w:tabs>
          <w:tab w:leader="none" w:pos="1171"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occurrence of any litigation, or any development has occurred in any litigation to which Seller, Servicer, Performance Guarantor, MPI or Originator is a party (including derivative actions), arbitration proceedings or proceedings of any other Governmental Authority which, (x) with respect to Servicer, Performance Guarantor, MPI or Originator, in any case, individually or in the aggregate, has a Material Adverse Effect (determined without giving effect to clause (d) of such definition of “Material Adverse Effect”) and (y) with respect to the Seller could, individually or in the aggregate, have a Material Adverse Effect or result in any judgment, individually or in the aggregate, that could reasonably be expected to exceed $10,000 or the economic equivalent thereof, or (ii) the representations and warranties in </w:t>
      </w:r>
      <w:r>
        <w:rPr>
          <w:rFonts w:ascii="Times New Roman" w:cs="Times New Roman" w:eastAsia="Times New Roman" w:hAnsi="Times New Roman"/>
          <w:sz w:val="18"/>
          <w:szCs w:val="18"/>
          <w:u w:val="single" w:color="auto"/>
          <w:color w:val="auto"/>
        </w:rPr>
        <w:t>Sections 6.1(f)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6.2(i)</w:t>
      </w:r>
      <w:r>
        <w:rPr>
          <w:rFonts w:ascii="Times New Roman" w:cs="Times New Roman" w:eastAsia="Times New Roman" w:hAnsi="Times New Roman"/>
          <w:sz w:val="18"/>
          <w:szCs w:val="18"/>
          <w:color w:val="auto"/>
        </w:rPr>
        <w:t xml:space="preserve"> shall not be true at any time;</w:t>
      </w:r>
    </w:p>
    <w:p>
      <w:pPr>
        <w:spacing w:after="0" w:line="200" w:lineRule="exact"/>
        <w:rPr>
          <w:sz w:val="20"/>
          <w:szCs w:val="20"/>
          <w:color w:val="auto"/>
        </w:rPr>
      </w:pPr>
    </w:p>
    <w:p>
      <w:pPr>
        <w:spacing w:after="0" w:line="378"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84" w:name="page485"/>
    <w:bookmarkEnd w:id="484"/>
    <w:p>
      <w:pPr>
        <w:ind w:left="4" w:firstLine="645"/>
        <w:spacing w:after="0" w:line="282" w:lineRule="auto"/>
        <w:tabs>
          <w:tab w:leader="none" w:pos="1044"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Default Ratios for the three preceding Settlement Periods shall at any time exceed 2.90% or such other percentage set forth in a Side Letter;</w:t>
      </w:r>
    </w:p>
    <w:p>
      <w:pPr>
        <w:spacing w:after="0" w:line="161" w:lineRule="exact"/>
        <w:rPr>
          <w:rFonts w:ascii="Times New Roman" w:cs="Times New Roman" w:eastAsia="Times New Roman" w:hAnsi="Times New Roman"/>
          <w:sz w:val="18"/>
          <w:szCs w:val="18"/>
          <w:color w:val="auto"/>
        </w:rPr>
      </w:pPr>
    </w:p>
    <w:p>
      <w:pPr>
        <w:ind w:left="4" w:firstLine="645"/>
        <w:spacing w:after="0" w:line="282" w:lineRule="auto"/>
        <w:tabs>
          <w:tab w:leader="none" w:pos="1074"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Dilution Ratios for the three preceding Settlement Periods shall at any time exceed 7.5% or such other percentage set forth in a Side Letter;</w:t>
      </w:r>
    </w:p>
    <w:p>
      <w:pPr>
        <w:spacing w:after="0" w:line="161" w:lineRule="exact"/>
        <w:rPr>
          <w:rFonts w:ascii="Times New Roman" w:cs="Times New Roman" w:eastAsia="Times New Roman" w:hAnsi="Times New Roman"/>
          <w:sz w:val="18"/>
          <w:szCs w:val="18"/>
          <w:color w:val="auto"/>
        </w:rPr>
      </w:pPr>
    </w:p>
    <w:p>
      <w:pPr>
        <w:ind w:left="4" w:firstLine="645"/>
        <w:spacing w:after="0" w:line="282" w:lineRule="auto"/>
        <w:tabs>
          <w:tab w:leader="none" w:pos="1146"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Delinquency Ratios for the three preceding Settlement Periods shall at any time exceed 1.00% or such other percentage set forth in a Side Letter;</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127"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Reporting Date or on any date the Servicer, MPI, Seller, Originator, Performance Guarantor or any Affiliate has actual knowledge thereof, either (i) the sum of the aggregate Purchasers’ Total Investment and the Required Reserves exceeds the Net Pool Balance, or</w:t>
      </w:r>
    </w:p>
    <w:p>
      <w:pPr>
        <w:ind w:left="4" w:right="20" w:hanging="4"/>
        <w:spacing w:after="0" w:line="261" w:lineRule="auto"/>
        <w:tabs>
          <w:tab w:leader="none" w:pos="29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Total Investment exceeds the Purchasers’ Total Commitment and, in either case, such event has not been cured within two (2) Business Days;</w:t>
      </w:r>
    </w:p>
    <w:p>
      <w:pPr>
        <w:spacing w:after="0" w:line="179" w:lineRule="exact"/>
        <w:rPr>
          <w:rFonts w:ascii="Times New Roman" w:cs="Times New Roman" w:eastAsia="Times New Roman" w:hAnsi="Times New Roman"/>
          <w:sz w:val="18"/>
          <w:szCs w:val="18"/>
          <w:color w:val="auto"/>
        </w:rPr>
      </w:pPr>
    </w:p>
    <w:p>
      <w:pPr>
        <w:ind w:left="4" w:firstLine="645"/>
        <w:spacing w:after="0" w:line="282" w:lineRule="auto"/>
        <w:tabs>
          <w:tab w:leader="none" w:pos="104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Change of Control shall occur or (ii) Originator shall at any time cease to own or control all notes or other evidences of debt of Seller to Originator in respect of any unpaid purchase price of Receivables;</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54"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Agent, for the benefit of Purchasers, fails at any time to have a valid and perfected first priority ownership interest or first priority perfected security interest in the Collateral (or any portion thereof) or (B) Seller or Servicer, as applicable, shall fail to comply with the covenants contained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7.6(a)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043"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a Material Adverse Effect or in the imposition of a Lien or security interest on any assets of the Performance Guarantor, Seller, Originator, MPI or any Subsidiary under Sections 401(a)(29) or 430(k) of the Code or under Section 4068 of ERISA</w:t>
      </w:r>
      <w:r>
        <w:rPr>
          <w:rFonts w:ascii="Times New Roman" w:cs="Times New Roman" w:eastAsia="Times New Roman" w:hAnsi="Times New Roman"/>
          <w:sz w:val="18"/>
          <w:szCs w:val="18"/>
          <w:color w:val="1F497D"/>
        </w:rPr>
        <w:t>;</w:t>
      </w:r>
    </w:p>
    <w:p>
      <w:pPr>
        <w:spacing w:after="0" w:line="176" w:lineRule="exact"/>
        <w:rPr>
          <w:rFonts w:ascii="Times New Roman" w:cs="Times New Roman" w:eastAsia="Times New Roman" w:hAnsi="Times New Roman"/>
          <w:sz w:val="18"/>
          <w:szCs w:val="18"/>
          <w:color w:val="auto"/>
        </w:rPr>
      </w:pPr>
    </w:p>
    <w:p>
      <w:pPr>
        <w:ind w:left="4" w:firstLine="645"/>
        <w:spacing w:after="0" w:line="282" w:lineRule="auto"/>
        <w:tabs>
          <w:tab w:leader="none" w:pos="126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Seller or (ii) Originator, Performance Guarantor or MPI, shall be required to register as an investment company within the meaning of the Investment Company Act;</w:t>
      </w:r>
    </w:p>
    <w:p>
      <w:pPr>
        <w:spacing w:after="0" w:line="161"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122"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MPI, Originator, Servicer or Seller fails to cooperate in Agent’s assumption of exclusive control of the lock-boxes subject to any Lock-Box Agreement or Agent is unable to obtain exclusive control thereof in accordance with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and such Lock-Box Agreements;</w:t>
      </w:r>
    </w:p>
    <w:p>
      <w:pPr>
        <w:spacing w:after="0" w:line="161" w:lineRule="exact"/>
        <w:rPr>
          <w:rFonts w:ascii="Times New Roman" w:cs="Times New Roman" w:eastAsia="Times New Roman" w:hAnsi="Times New Roman"/>
          <w:sz w:val="18"/>
          <w:szCs w:val="18"/>
          <w:color w:val="auto"/>
        </w:rPr>
      </w:pPr>
    </w:p>
    <w:p>
      <w:pPr>
        <w:ind w:left="4" w:firstLine="645"/>
        <w:spacing w:after="0" w:line="282" w:lineRule="auto"/>
        <w:tabs>
          <w:tab w:leader="none" w:pos="1166"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Document shall cease to be the valid and binding obligation enforceable against Servicer, Seller, Performance Guarantor or Originator, as applicable;</w:t>
      </w:r>
    </w:p>
    <w:p>
      <w:pPr>
        <w:spacing w:after="0" w:line="161"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091"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Agreement Default has occurred and for which any applicable grace period set forth in the applicable Credit Agreement with respect thereto has expired, unless waived in accordance with the terms of the applicable Credit Agreement,</w:t>
      </w:r>
    </w:p>
    <w:p>
      <w:pPr>
        <w:spacing w:after="0" w:line="200" w:lineRule="exact"/>
        <w:rPr>
          <w:sz w:val="20"/>
          <w:szCs w:val="20"/>
          <w:color w:val="auto"/>
        </w:rPr>
      </w:pPr>
    </w:p>
    <w:p>
      <w:pPr>
        <w:spacing w:after="0" w:line="350"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5" w:right="239" w:bottom="1440" w:gutter="0" w:footer="0" w:header="0"/>
        </w:sectPr>
      </w:pPr>
    </w:p>
    <w:bookmarkStart w:id="485" w:name="page486"/>
    <w:bookmarkEnd w:id="485"/>
    <w:p>
      <w:pPr>
        <w:ind w:left="4"/>
        <w:spacing w:after="0"/>
        <w:rPr>
          <w:sz w:val="20"/>
          <w:szCs w:val="20"/>
          <w:color w:val="auto"/>
        </w:rPr>
      </w:pPr>
      <w:r>
        <w:rPr>
          <w:rFonts w:ascii="Times New Roman" w:cs="Times New Roman" w:eastAsia="Times New Roman" w:hAnsi="Times New Roman"/>
          <w:sz w:val="18"/>
          <w:szCs w:val="18"/>
          <w:color w:val="auto"/>
        </w:rPr>
        <w:t>solely as long as such waiver is granted at a time that Agent and each Purchaser Agent are then party to such Credit Agreement;</w:t>
      </w:r>
    </w:p>
    <w:p>
      <w:pPr>
        <w:spacing w:after="0" w:line="225" w:lineRule="exact"/>
        <w:rPr>
          <w:sz w:val="20"/>
          <w:szCs w:val="20"/>
          <w:color w:val="auto"/>
        </w:rPr>
      </w:pPr>
    </w:p>
    <w:p>
      <w:pPr>
        <w:ind w:left="4" w:firstLine="645"/>
        <w:spacing w:after="0" w:line="282" w:lineRule="auto"/>
        <w:tabs>
          <w:tab w:leader="none" w:pos="1069"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Performance Guarantor to comply with the Financial Covenants and for which any applicable grace period set forth in the applicable Credit Agreement with respect thereto has expired;</w:t>
      </w:r>
    </w:p>
    <w:p>
      <w:pPr>
        <w:spacing w:after="0" w:line="161" w:lineRule="exact"/>
        <w:rPr>
          <w:rFonts w:ascii="Times New Roman" w:cs="Times New Roman" w:eastAsia="Times New Roman" w:hAnsi="Times New Roman"/>
          <w:sz w:val="18"/>
          <w:szCs w:val="18"/>
          <w:color w:val="auto"/>
        </w:rPr>
      </w:pPr>
    </w:p>
    <w:p>
      <w:pPr>
        <w:ind w:left="1004" w:hanging="355"/>
        <w:spacing w:after="0"/>
        <w:tabs>
          <w:tab w:leader="none" w:pos="1004"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fail to comply with </w:t>
      </w:r>
      <w:r>
        <w:rPr>
          <w:rFonts w:ascii="Times New Roman" w:cs="Times New Roman" w:eastAsia="Times New Roman" w:hAnsi="Times New Roman"/>
          <w:sz w:val="18"/>
          <w:szCs w:val="18"/>
          <w:u w:val="single" w:color="auto"/>
          <w:color w:val="auto"/>
        </w:rPr>
        <w:t>Sections 7.8(a)(iii)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7.8(b)(x)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645"/>
        <w:spacing w:after="0" w:line="282" w:lineRule="auto"/>
        <w:tabs>
          <w:tab w:leader="none" w:pos="1032"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fail to pay in full all of its obligations to Agent and the Purchasers hereunder and under each other Transaction Documents on or prior to the Legal Final;</w:t>
      </w:r>
    </w:p>
    <w:p>
      <w:pPr>
        <w:spacing w:after="0" w:line="161"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094"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is drawn upon and is not fully reimbursed in accordance with the terms hereof and of such Letter of Credit (including, if applicable, with the proceeds of any deemed Funded Purchase) within two (2) Business Days from the date of such draw;</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54" w:lineRule="auto"/>
        <w:tabs>
          <w:tab w:leader="none" w:pos="1098"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for the payment of money, (i) with respect to Seller, in excess of $10,000 or (ii) with respect to MPI, Originator, the Servicer, the Performance Guarantor, any Subsidiary of MPI or any combination thereof, in excess of $200,000,000 in the aggregate (to the extent due and payable and not covered by indemnification by a third party or insurance as to which the relevant insurance company has not denied coverage), in either case, shall be rendered against any of the Seller, Originator, the Servicer, the Performance Guarantor, any Subsidiary of MPI or Performance Guarantor or any combination thereof and the same shall remain unpaid or undischarged for a period of thirty</w:t>
      </w:r>
    </w:p>
    <w:p>
      <w:pPr>
        <w:spacing w:after="0" w:line="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during which execution shall not be paid, bonded or effectively stayed; or</w:t>
      </w:r>
    </w:p>
    <w:p>
      <w:pPr>
        <w:spacing w:after="0" w:line="206" w:lineRule="exact"/>
        <w:rPr>
          <w:rFonts w:ascii="Times New Roman" w:cs="Times New Roman" w:eastAsia="Times New Roman" w:hAnsi="Times New Roman"/>
          <w:sz w:val="18"/>
          <w:szCs w:val="18"/>
          <w:color w:val="auto"/>
        </w:rPr>
      </w:pPr>
    </w:p>
    <w:p>
      <w:pPr>
        <w:ind w:left="1044" w:hanging="395"/>
        <w:spacing w:after="0"/>
        <w:tabs>
          <w:tab w:leader="none" w:pos="1044"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Guaranty is canceled, rescinded, amended or modified without the prior written consent of Agent.</w:t>
      </w:r>
    </w:p>
    <w:p>
      <w:pPr>
        <w:spacing w:after="0" w:line="221" w:lineRule="exact"/>
        <w:rPr>
          <w:sz w:val="20"/>
          <w:szCs w:val="20"/>
          <w:color w:val="auto"/>
        </w:rPr>
      </w:pPr>
    </w:p>
    <w:p>
      <w:pPr>
        <w:ind w:left="4"/>
        <w:spacing w:after="0"/>
        <w:tabs>
          <w:tab w:leader="none" w:pos="1323"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5"/>
        <w:spacing w:after="0" w:line="254" w:lineRule="auto"/>
        <w:tabs>
          <w:tab w:leader="none" w:pos="112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 Waiver</w:t>
      </w:r>
      <w:r>
        <w:rPr>
          <w:rFonts w:ascii="Times New Roman" w:cs="Times New Roman" w:eastAsia="Times New Roman" w:hAnsi="Times New Roman"/>
          <w:sz w:val="18"/>
          <w:szCs w:val="18"/>
          <w:color w:val="auto"/>
        </w:rPr>
        <w:t xml:space="preserve">. After the occurrence of an Event of Default that has not been waived in accordance with the terms of this Agreement, Agent, on behalf of the Secured Parties, shall have, with respect to the Collateral granted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and in addition to all other rights and remedies available to any Secured Party under this Agreement and the other Transaction Documents or other applicable Law, all the rights and remedies of a secured party upon default under the UCC. To the fullest extent it may lawfully so agree, Seller agrees that it will not at any time insist upon, claim, plead, or take any benefit or advantage of any appraisal, valuation, stay, extension, moratorium, redemption or similar Law now or hereafter in force in order to prevent, delay, or hinder the enforcement hereof or the absolute sale of any part of the Collateral; Seller for itself and all who claim through it, so far as it or they now or hereafter lawfully may do so, hereby waives the benefit of all such Laws and all right to have the Collateral marshalled upon any foreclosure hereof, and agrees that any court having jurisdiction to foreclose this Agreement may order the sale of the Collateral in its entirety. Without limiting the</w:t>
      </w:r>
    </w:p>
    <w:p>
      <w:pPr>
        <w:spacing w:after="0" w:line="200" w:lineRule="exact"/>
        <w:rPr>
          <w:sz w:val="20"/>
          <w:szCs w:val="20"/>
          <w:color w:val="auto"/>
        </w:rPr>
      </w:pPr>
    </w:p>
    <w:p>
      <w:pPr>
        <w:spacing w:after="0" w:line="378"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486" w:name="page487"/>
    <w:bookmarkEnd w:id="486"/>
    <w:p>
      <w:pPr>
        <w:jc w:val="both"/>
        <w:spacing w:after="0" w:line="254" w:lineRule="auto"/>
        <w:rPr>
          <w:sz w:val="20"/>
          <w:szCs w:val="20"/>
          <w:color w:val="auto"/>
        </w:rPr>
      </w:pPr>
      <w:r>
        <w:rPr>
          <w:rFonts w:ascii="Times New Roman" w:cs="Times New Roman" w:eastAsia="Times New Roman" w:hAnsi="Times New Roman"/>
          <w:sz w:val="18"/>
          <w:szCs w:val="18"/>
          <w:color w:val="auto"/>
        </w:rPr>
        <w:t>generality of the foregoing, Seller hereby (i) authorizes Agent (on behalf of the Secured Parties) in its sole discretion and without notice to or demand upon Seller and without otherwise affecting the rights and obligations of Seller hereunder, from time to time to take and hold other collateral from other Persons (in addition to the Collateral) for payment of any obligations of Seller hereunder or under any other Transaction Document, or any part thereof, and to exchange, enforce or release such other collateral or any thereof, and to accept and hold any endorsement or Guaranty of payment of its obligations hereunder or under any other Transaction Document or any part thereof, and to release or substitute any endorser or guarantor or any other Person granting security for or in any other way obligated upon any such obligation or any part thereof, and (ii) waives and releases any and all right to require Agent to collect any of such obligations from any specific item or items of the Collateral or from any other party liable as guarantor or in any other manner in respect of any of such obligations or from any collateral (including, without limitation, the Collateral) for any of such obligations.</w:t>
      </w:r>
    </w:p>
    <w:p>
      <w:pPr>
        <w:spacing w:after="0" w:line="189" w:lineRule="exact"/>
        <w:rPr>
          <w:sz w:val="20"/>
          <w:szCs w:val="20"/>
          <w:color w:val="auto"/>
        </w:rPr>
      </w:pPr>
    </w:p>
    <w:p>
      <w:pPr>
        <w:jc w:val="both"/>
        <w:ind w:firstLine="645"/>
        <w:spacing w:after="0" w:line="261" w:lineRule="auto"/>
        <w:tabs>
          <w:tab w:leader="none" w:pos="106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Liquidation</w:t>
      </w:r>
      <w:r>
        <w:rPr>
          <w:rFonts w:ascii="Times New Roman" w:cs="Times New Roman" w:eastAsia="Times New Roman" w:hAnsi="Times New Roman"/>
          <w:sz w:val="18"/>
          <w:szCs w:val="18"/>
          <w:color w:val="auto"/>
        </w:rPr>
        <w:t xml:space="preserve">. Upon, or anytime after, the occurrence of an Event of Default that has not been waived in accordance with the terms of this Agreement (other than an Event of Default described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Agent shall, at the request, or may with the consent, of the Required Purchaser Agents, by notice to Seller and Servicer declare the Purchase Termination Date to have occurred and the Liquidation Period to have commenced and shall have all of the remedies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or otherwise herein or in equity or at Law.</w:t>
      </w:r>
    </w:p>
    <w:p>
      <w:pPr>
        <w:spacing w:after="0" w:line="180" w:lineRule="exact"/>
        <w:rPr>
          <w:rFonts w:ascii="Times New Roman" w:cs="Times New Roman" w:eastAsia="Times New Roman" w:hAnsi="Times New Roman"/>
          <w:sz w:val="18"/>
          <w:szCs w:val="18"/>
          <w:color w:val="auto"/>
        </w:rPr>
      </w:pPr>
    </w:p>
    <w:p>
      <w:pPr>
        <w:ind w:firstLine="645"/>
        <w:spacing w:after="0" w:line="282" w:lineRule="auto"/>
        <w:tabs>
          <w:tab w:leader="none" w:pos="115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Liquidation</w:t>
      </w:r>
      <w:r>
        <w:rPr>
          <w:rFonts w:ascii="Times New Roman" w:cs="Times New Roman" w:eastAsia="Times New Roman" w:hAnsi="Times New Roman"/>
          <w:sz w:val="18"/>
          <w:szCs w:val="18"/>
          <w:color w:val="auto"/>
        </w:rPr>
        <w:t xml:space="preserve">. Upon the occurrence of an Event of Default described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Purchase Termination Date shall occur and the Liquidation Period shall commence automatically.</w:t>
      </w:r>
    </w:p>
    <w:p>
      <w:pPr>
        <w:spacing w:after="0" w:line="161" w:lineRule="exact"/>
        <w:rPr>
          <w:rFonts w:ascii="Times New Roman" w:cs="Times New Roman" w:eastAsia="Times New Roman" w:hAnsi="Times New Roman"/>
          <w:sz w:val="18"/>
          <w:szCs w:val="18"/>
          <w:color w:val="auto"/>
        </w:rPr>
      </w:pPr>
    </w:p>
    <w:p>
      <w:pPr>
        <w:jc w:val="both"/>
        <w:ind w:firstLine="645"/>
        <w:spacing w:after="0" w:line="255" w:lineRule="auto"/>
        <w:tabs>
          <w:tab w:leader="none" w:pos="1119"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Upon, or at any time after, the declaration or automatic occurrence of the Purchase Termination Date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no Purchases or Reinvestments thereafter will be made. Upon the declaration or automatic occurrence of the Purchase Termination Date pursuant to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Agent, on behalf of the Secured Parties, each Enhancement Provider, each Purchaser and each Liquidity Provider shall have, in addition to all other rights and remedies under this Agreement, any other Transaction Document or otherwise, (i) all other rights and remedies provided under the UCC of each applicable jurisdiction and other applicable Laws (including all the rights and remedies of a secured party upon default under the UCC (including the right to sell any or all of the Collateral subject hereto)) and (ii) all rights and remedies with respect to the Collateral granted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all of which rights shall be cumulative.</w:t>
      </w:r>
    </w:p>
    <w:p>
      <w:pPr>
        <w:spacing w:after="0" w:line="189" w:lineRule="exact"/>
        <w:rPr>
          <w:rFonts w:ascii="Times New Roman" w:cs="Times New Roman" w:eastAsia="Times New Roman" w:hAnsi="Times New Roman"/>
          <w:sz w:val="18"/>
          <w:szCs w:val="18"/>
          <w:color w:val="auto"/>
        </w:rPr>
      </w:pPr>
    </w:p>
    <w:p>
      <w:pPr>
        <w:jc w:val="both"/>
        <w:ind w:firstLine="645"/>
        <w:spacing w:after="0" w:line="261" w:lineRule="auto"/>
        <w:tabs>
          <w:tab w:leader="none" w:pos="1109"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Remedies</w:t>
      </w:r>
      <w:r>
        <w:rPr>
          <w:rFonts w:ascii="Times New Roman" w:cs="Times New Roman" w:eastAsia="Times New Roman" w:hAnsi="Times New Roman"/>
          <w:sz w:val="18"/>
          <w:szCs w:val="18"/>
          <w:color w:val="auto"/>
        </w:rPr>
        <w:t xml:space="preserve">. (i) Without limiting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or any other provision herein or in any other Transaction Document, the parties hereto agree that the terms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xml:space="preserve"> are agreed upon in accordance with Section 9-603 of the New York UCC, that they do not believe the terms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xml:space="preserve"> to be “manifestly unreasonable” for purposes of Section 9-603 of the New York UCC, and that compliance therewith shall constitute a “commercially reasonable” disposition under Section 9-610 of the New York UCC, and further agree as follows:</w:t>
      </w:r>
    </w:p>
    <w:p>
      <w:pPr>
        <w:spacing w:after="0" w:line="200" w:lineRule="exact"/>
        <w:rPr>
          <w:sz w:val="20"/>
          <w:szCs w:val="20"/>
          <w:color w:val="auto"/>
        </w:rPr>
      </w:pPr>
    </w:p>
    <w:p>
      <w:pPr>
        <w:spacing w:after="0" w:line="368"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87" w:name="page488"/>
    <w:bookmarkEnd w:id="487"/>
    <w:p>
      <w:pPr>
        <w:jc w:val="both"/>
        <w:ind w:left="640" w:firstLine="653"/>
        <w:spacing w:after="0" w:line="218" w:lineRule="exact"/>
        <w:tabs>
          <w:tab w:leader="none" w:pos="179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the Purchase Termination Date, Agent and Secured Parties shall have all rights, remedies and recourse granted in any Transaction Document and any other instrument executed to provide security for or in connection with the payment and performance of the Obligations or existing at common Law or equity (including specifically those granted by the New York UCC and the UCC of any other state which governs the creation or perfection (and the effect thereof) of any security interest in the Collateral), and such rights and remedies: (A) shall be cumulative and concurrent; (B) may be pursued separately, successively or concurrently against Seller, Servicer, Originator and any other party obligated under the Obligations, or any of such Collateral, or any other security for the Obligations, or any of them, at the sole discretion of Agent, on behalf of Secured Parties; (C) may be exercised as often as occasion therefor shall arise, it being agreed by Seller, Servicer, Originator and any other party obligated under the Obligations that the exercise or failure to exercise any of same shall in no event be construed as a waiver or release thereof or of any other right, remedy or recourse; and (D) are intended to be and shall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exclusive. For the avoidance of doubt, with respect to any disposition of the Collateral or any part thereof (including any purchase by Agent, any Secured Party, or any Affiliate of any of them) in accordance with the terms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for consideration which is insufficient, after payment of all related costs and expenses of every kind, to satisfy the Obligations, (1) such disposition shall not act as, and shall not be deemed to be, a waiver of any rights by Agent or Secured Parties and Agent on behalf of the Secured Parties shall have a claim for such deficiency and (2) Agent shall not be liable or responsible for any such deficiency.</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the declaration or automatic occurrence of the Purchase Termination Date pursuant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Agent, on behalf of the Secured Parties, shall have the right, in accordance with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 to dispose of the Collateral or any part thereof upon giving at least ten (10) days’ prior notice to Seller and Servicer of the time and place of disposition, for cash or upon credit or for future delivery, with Seller, Servicer, Originator and each party obligated under the Obligations hereby waiving all rights, if any, to require Agent or any other Person to marshal the Collateral and any other security for the Obligations, and Agent, acting with the consent of the Required Purchaser Agents may or, at their direction, shall for the benefit of the Secured Parties:</w:t>
      </w:r>
    </w:p>
    <w:p>
      <w:pPr>
        <w:spacing w:after="0" w:line="188" w:lineRule="exact"/>
        <w:rPr>
          <w:sz w:val="20"/>
          <w:szCs w:val="20"/>
          <w:color w:val="auto"/>
        </w:rPr>
      </w:pPr>
    </w:p>
    <w:p>
      <w:pPr>
        <w:ind w:left="1940"/>
        <w:spacing w:after="0"/>
        <w:tabs>
          <w:tab w:leader="none" w:pos="2280" w:val="left"/>
        </w:tabs>
        <w:rPr>
          <w:sz w:val="20"/>
          <w:szCs w:val="20"/>
          <w:color w:val="auto"/>
        </w:rPr>
      </w:pPr>
      <w:r>
        <w:rPr>
          <w:rFonts w:ascii="Times New Roman" w:cs="Times New Roman" w:eastAsia="Times New Roman" w:hAnsi="Times New Roman"/>
          <w:sz w:val="18"/>
          <w:szCs w:val="18"/>
          <w:color w:val="auto"/>
        </w:rPr>
        <w:t>(I)</w:t>
        <w:tab/>
        <w:t>dispose of the Collateral or any part thereof at a public disposition;</w:t>
      </w:r>
    </w:p>
    <w:p>
      <w:pPr>
        <w:spacing w:after="0" w:line="225" w:lineRule="exact"/>
        <w:rPr>
          <w:sz w:val="20"/>
          <w:szCs w:val="20"/>
          <w:color w:val="auto"/>
        </w:rPr>
      </w:pPr>
    </w:p>
    <w:p>
      <w:pPr>
        <w:jc w:val="both"/>
        <w:ind w:left="1300" w:firstLine="641"/>
        <w:spacing w:after="0" w:line="258" w:lineRule="auto"/>
        <w:tabs>
          <w:tab w:leader="none" w:pos="2393"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the Collateral or any part thereof at a private disposition, in which event such notice shall also contain a summary of the material terms of the proposed disposition, and Seller shall have until the time of such proposed disposition during which to redeem the Collateral or to procure a Person willing, ready and able to acquire the Collateral on terms at least as favorable to Seller and the Secured Parties, and if such an acquirer is so procured, then Agent shall dispose of the Collateral to the acquirer so procured;</w:t>
      </w:r>
    </w:p>
    <w:p>
      <w:pPr>
        <w:spacing w:after="0" w:line="200" w:lineRule="exact"/>
        <w:rPr>
          <w:sz w:val="20"/>
          <w:szCs w:val="20"/>
          <w:color w:val="auto"/>
        </w:rPr>
      </w:pPr>
    </w:p>
    <w:p>
      <w:pPr>
        <w:spacing w:after="0" w:line="372"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4" w:right="239" w:bottom="1440" w:gutter="0" w:footer="0" w:header="0"/>
        </w:sectPr>
      </w:pPr>
    </w:p>
    <w:bookmarkStart w:id="488" w:name="page489"/>
    <w:bookmarkEnd w:id="488"/>
    <w:p>
      <w:pPr>
        <w:ind w:left="1940"/>
        <w:spacing w:after="0"/>
        <w:tabs>
          <w:tab w:leader="none" w:pos="240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dispose of the Collateral or any part thereof in bulk or parcels;</w:t>
      </w:r>
    </w:p>
    <w:p>
      <w:pPr>
        <w:spacing w:after="0" w:line="225"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dispose of the Collateral or any part thereof to any Secured Party or any Affiliate thereof at a public disposition;</w:t>
      </w:r>
    </w:p>
    <w:p>
      <w:pPr>
        <w:spacing w:after="0" w:line="225" w:lineRule="exact"/>
        <w:rPr>
          <w:sz w:val="20"/>
          <w:szCs w:val="20"/>
          <w:color w:val="auto"/>
        </w:rPr>
      </w:pPr>
    </w:p>
    <w:p>
      <w:pPr>
        <w:jc w:val="both"/>
        <w:ind w:left="1300" w:firstLine="641"/>
        <w:spacing w:after="0" w:line="255" w:lineRule="auto"/>
        <w:tabs>
          <w:tab w:leader="none" w:pos="2383"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public disposition, bid for and acquire, unless prohibited by applicable Law, free from any redemption right, the Collateral or any part thereof, and, if Secured Parties are then the holders of any Obligations or any participation or other interest therein, in lieu of paying cash therefor, Agent on behalf of Secured Parties may make settlement for the selling price by crediting the net selling price, if any, after deducting all costs and expenses of every kind, upon the outstanding principal amount of the Obligations, in such order and manner as Agent on behalf of Secured Parties, in its discretion, may deem advisable and as permissible and required under the Transaction Documents. Agent for the benefit of Secured Parties, upon so acquiring the Collateral or any part thereof shall be entitled to hold or otherwise deal with or dispose of the same in any manner not prohibited by applicable Law; or</w:t>
      </w:r>
    </w:p>
    <w:p>
      <w:pPr>
        <w:spacing w:after="0" w:line="185" w:lineRule="exact"/>
        <w:rPr>
          <w:sz w:val="20"/>
          <w:szCs w:val="20"/>
          <w:color w:val="auto"/>
        </w:rPr>
      </w:pPr>
    </w:p>
    <w:p>
      <w:pPr>
        <w:ind w:left="1940"/>
        <w:spacing w:after="0"/>
        <w:tabs>
          <w:tab w:leader="none" w:pos="242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7"/>
          <w:szCs w:val="17"/>
          <w:color w:val="auto"/>
        </w:rPr>
        <w:t>enforce any other remedy available to Agent on behalf of Secured Parties at Law or in equity.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Agent may, but shall not be obligated to, postpone the time and change the place of any proposed disposition of any of the Collateral for which notice has been given as provided above and may retain the Collateral until such time as the proposed disposition occurs if, in the sole discretion of Agent, such postponement or change is necessary or appropriate in order that the provisions of this Agreement applicable to such disposition may be fulfilled or in order to obtain more favorable conditions under which such disposition may take place. For the avoidance of doubt, to the extent permitted by Law, Agent shall not be obligated to make any disposition of the Collateral or any part thereof notwithstanding any prior notice of a proposed disposition. No demand, advertisement or notice, all of which are hereby expressly waived by the Seller, Servicer, Originator and each party obligated under the Obligations to the extent permitted by Law, shall be required in connection with any disposition of the Collateral or any part thereof, except for the notice described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case of any disposition by Agent of any of the Collateral on credit, which may be elected at the option and in the complete discretion of Agent, on behalf of Secured Parties, the Collateral so disposed may be retained by Agent for the benefit of Secured Parties until the disposition price is paid by the purchaser, but neither Agent nor Secured Parties shall incur any liability in case of failure of the purchaser to take up and pay for the Collateral so disposed. In case of any such failure, such Collateral so disposed may be again disposed.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deducting all reasonable out-of-pocket and documented costs or expenses of every kind (including the reasonable attorneys’ fees and legal expenses incurred by Agent</w:t>
      </w:r>
    </w:p>
    <w:p>
      <w:pPr>
        <w:spacing w:after="0" w:line="200" w:lineRule="exact"/>
        <w:rPr>
          <w:sz w:val="20"/>
          <w:szCs w:val="20"/>
          <w:color w:val="auto"/>
        </w:rPr>
      </w:pPr>
    </w:p>
    <w:p>
      <w:pPr>
        <w:spacing w:after="0" w:line="350"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5" w:right="239" w:bottom="1440" w:gutter="0" w:footer="0" w:header="0"/>
        </w:sectPr>
      </w:pPr>
    </w:p>
    <w:bookmarkStart w:id="489" w:name="page490"/>
    <w:bookmarkEnd w:id="489"/>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or Secured Parties, or both), Agent shall apply the net proceeds of any disposition or dispositions, if any, to pay the principal of and interest upon the Obligations in such order and manner as Agent in its discretion may deem advisable and as permissible and required under the Transaction Documents. The excess, if any, shall be paid to Seller in accordance with the Transaction Documents. Neither Agent nor Secured Parties shall incur any liability as a result of the dispositions of the Collateral at any private or public disposition that complies with the provisions of this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 foreclosure upon any of the Collateral or exercise of any other remedy by Agent on behalf of Secured Parties in connection with any Purchase Termination Date, none of Seller, Servicer, Originator or Performance Guarantor shall be subrogated thereby to any rights of Agent for the benefit of Secured Parties against the Collateral or any other security for the Obligations, nor shall Seller, Servicer, Originator or Performance Guarantor be deemed to be the owner of any interest in any Obligations, or exercise any rights or remedies with respect to itself or any other party until the Obligations have been paid to Agent for the benefit of the Secured Parties and are fully and indefeasibly performed and discharged.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Agent shall have no duty to prepare or process the Collateral for disposition.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CERTAIN RELATED MATTERS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u w:val="single" w:color="auto"/>
          <w:color w:val="auto"/>
        </w:rPr>
        <w:t>Authorization and Action of each Purchaser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execution hereof, in the case of each LOC Issuer, each Conduit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and Committed Purchaser, and by accepting the benefits hereof, in the case of each Enhancement Provider or Liquidity Provider, each such party hereby designates and appoints its related Purchaser Agent to take such action as agent on its behalf and to exercise such powers as are delegated to such Purchaser Agent by the terms hereof, together with such powers as are reasonably incidental thereto. Each Purchaser Agent reserves the right, in its sole discretion, to take any actions and exercise any rights or remedies under this Agreement or any other Transaction Document and any related agreements and documents.</w:t>
      </w:r>
    </w:p>
    <w:p>
      <w:pPr>
        <w:spacing w:after="0" w:line="4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u w:val="single" w:color="auto"/>
          <w:color w:val="auto"/>
        </w:rPr>
        <w:t>Authorization and Action of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execution hereof, in the case of each Conduit Purchaser, Committed Purchaser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Agent, and by accepting the benefits hereof, in the case of each Enhancement Provider or Liquidity Provider, each such party hereby designates and appoints BTMUNY as the Agent to take such action as agent on its behalf and to exercise such powers as are delegated to the Agent by the terms hereof, together with such powers as are reasonably incidental thereto. The Agent reserves the right, in its sole discretion, to take any actions and exercise any rights or remedies under this Agreement or any other Transaction Document and any related agreements and documents.</w:t>
      </w:r>
    </w:p>
    <w:p>
      <w:pPr>
        <w:spacing w:after="0" w:line="18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Agent may execute any of its duties through agents or attorneys in fact and shall be entitled to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concerning all matters pertaining to such duties. Agent shall not be responsible to any Purchaser or any other Person</w:t>
      </w:r>
    </w:p>
    <w:p>
      <w:pPr>
        <w:spacing w:after="0" w:line="200" w:lineRule="exact"/>
        <w:rPr>
          <w:sz w:val="20"/>
          <w:szCs w:val="20"/>
          <w:color w:val="auto"/>
        </w:rPr>
      </w:pPr>
    </w:p>
    <w:p>
      <w:pPr>
        <w:spacing w:after="0" w:line="347"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color w:val="auto"/>
        </w:rPr>
        <w:t>for the negligence or misconduct of any agents or attorneys in fact selected by it with reasonable care.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u w:val="single" w:color="auto"/>
          <w:color w:val="auto"/>
        </w:rPr>
        <w:t>Agency 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appointment and authority of the Agent hereunder shall terminate upon the later of (a) the payment to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Purchaser, each LOC Issuer and Purchaser Agent of all amounts owing to such parties under the Transaction Documents and (ii) the Agent of all amounts due under the Transaction Documents and (b) the occurrence of the Commitment Termination Date for all Purchasers.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Agent may, upon at least five (5) Business Days notice to the Seller, each LOC Issuer and each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Purchaser Agent, resign as Agent. Such resignation shall not become effective until a successor agent is appointed by the Required Purchaser Agents and has accepted such appointment. Upon such acceptance of its appointment as Agent hereunder by a successor Agent, such successor Agent shall succeed to and become vested with all the rights and duties of the retiring Agent, and the retiring Agent shall be discharged from its duties and obligations under the Transaction Documents.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Purchaser and each LOC Issuer shall indemnify and hold harmless the Agent and its officers,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representatives and agents (to the extent not reimbursed by the Seller, the Servicer or the Originator and without limiting the obligation of the Seller, the Servicer or the Originator to do so), ratably in accordance with the Commitment of its related Committed Purchaser or if such Commitment has expired or been terminated, the then current Investment of such Group from and against any and all damages, losses, claims, liabilities and related costs and expenses (including all filing fees), including attorneys’, consultants’ and accountants’ fees and disbursements but excluding all Excluded Taxes that may at any time be imposed on, incurred by or asserted against the Agent for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to the extent resulting solely from the gross negligence or willful misconduct of the Agent or such Person as finally determined by a court of competent jurisdiction).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u w:val="single" w:color="auto"/>
          <w:color w:val="auto"/>
        </w:rPr>
        <w:t>Limited Liability of Purchasers, Purchaser Agents and Agent</w:t>
      </w:r>
      <w:r>
        <w:rPr>
          <w:rFonts w:ascii="Times New Roman" w:cs="Times New Roman" w:eastAsia="Times New Roman" w:hAnsi="Times New Roman"/>
          <w:sz w:val="18"/>
          <w:szCs w:val="18"/>
          <w:color w:val="auto"/>
        </w:rPr>
        <w:t>. The obligations of Agent, each Purchaser, each Purchaser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Enhancement Provider, each Liquidity Provider, each LOC Issuer and each agent for any Purchaser under the Transaction Documents are solely the corporate obligations of such Person. Except with respect to any claim to the extent arising out of the willful misconduct or gross negligence of Agent, any Purchaser, any Purchaser Agent, any Enhancement Provider, any Liquidity Provider, any LOC Issuer or any agent for any Purchaser or Global Securitization Services LLC (including with respect to the servicing, administering or collecting Pool Receivables as Servicer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no claim may be made by MPI, Seller, Servicer, Performance Guarantor, Originator or any other Person against Agent, any Purchaser, any Purchaser Agent, any Enhancement Provider, any Liquidity Provider, any LOC Issuer or any agent for any Purchaser or their respective Affiliates, directors, members, managers, officers, employees, attorneys or agents, including Global Securitization Services LLC and BTMUNY, for any special, indirect, consequential or punitive damages in respect of any claim for breach of contract or any other theory of liability arising out</w:t>
      </w:r>
    </w:p>
    <w:p>
      <w:pPr>
        <w:spacing w:after="0" w:line="200" w:lineRule="exact"/>
        <w:rPr>
          <w:sz w:val="20"/>
          <w:szCs w:val="20"/>
          <w:color w:val="auto"/>
        </w:rPr>
      </w:pPr>
    </w:p>
    <w:p>
      <w:pPr>
        <w:spacing w:after="0" w:line="374"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1" w:name="page492"/>
    <w:bookmarkEnd w:id="49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of or related to the transactions contemplated by this Agreement or any other Transaction Document, or any act, omission or event occurring in connection therewith; and each of Seller, Servicer, and Originator hereby waives, releases, and agrees not to sue upon any claim for any such damages not expressly permitted by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whether or not accrued and whether or not known or suspected to exist in its favor. Notwithstanding any provision of this Agreement or any other Transaction Document to the contrary: (i) in no event shall Agent ever be required to take any action which exposes it to personal liability or which is contrary to the provision of any Transaction Document or applicable Law and (ii) Agent shall not have any duties or responsibilities, except those expressly set forth herein, or any fiduciary relationship with any party hereto or any other Person, and no implied covenants, functions, responsibilities, duties, obligations or liabilities on the part of Agent shall be read into this Agreement or the other Transaction Documents or otherwise exist against Agent. In performing its functions and duties hereunder, Agent shall act solely as the agent of the Purchasers and the other Secured Parties, as applicable, and does not assume nor shall be deemed to have assumed any obligation or relationship of trust or agency with or for Seller, Originator, Performance Guarantor or Servicer or any other Person.</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11.8 </w:t>
      </w:r>
      <w:r>
        <w:rPr>
          <w:rFonts w:ascii="Times New Roman" w:cs="Times New Roman" w:eastAsia="Times New Roman" w:hAnsi="Times New Roman"/>
          <w:sz w:val="17"/>
          <w:szCs w:val="17"/>
          <w:u w:val="single" w:color="auto"/>
          <w:color w:val="auto"/>
        </w:rPr>
        <w:t>Reliance, Etc.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limiting the generality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each of Agent, any Enhancement Provider and any Liquidity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 (a) may consult with legal counsel (including counsel for Seller),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or any other holder of any interest in Pool Receivables and shall not be responsible to any Purchaser or any such other holder for any statements, warranties or representations made by other Persons in or in connection with any Transaction Document; (c) shall not have any duty to ascertain or to inquire as to the performance or observance of any of the terms, covenants or conditions of any Transaction Document on the part of Seller or to inspect the property (including the books and records) of Seller; (d) shall not be responsible to any Purchaser or any other holder of any interest in Pool Receivables for the due execution, legality, validity, enforceability, genuineness, sufficiency or value of any Transaction Document; and (e) shall incur no liability under or in respect of this Agreement or any other Transaction Document by acting upon any notice (including notice by telephone), consent, certificate or other instrument or writing (which may be by facsimile or telex) believed by it to be genuine and signed or sent by the proper party or parties.</w:t>
      </w:r>
    </w:p>
    <w:p>
      <w:pPr>
        <w:spacing w:after="0" w:line="1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u w:val="single" w:color="auto"/>
          <w:color w:val="auto"/>
        </w:rPr>
        <w:t>Purchasers and Affiliates</w:t>
      </w:r>
      <w:r>
        <w:rPr>
          <w:rFonts w:ascii="Times New Roman" w:cs="Times New Roman" w:eastAsia="Times New Roman" w:hAnsi="Times New Roman"/>
          <w:sz w:val="18"/>
          <w:szCs w:val="18"/>
          <w:color w:val="auto"/>
        </w:rPr>
        <w:t>. Any Purchaser, any Purchaser Agent, Agent and any of their respective Affiliates may generally engage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kind of business with Seller, Originator, Servicer, Performance Guarantor, MPI or any Obligor, any of their respective Affiliates and any Person who may do business with or own securities of Seller, Originator, Servicer, Performance Guarantor, MPI or any Obligor or any of their respective Affiliates, all as if such Purchaser was not a Purchaser, such Purchaser Agent was not a Purchaser Agent and BTMUNY were not Agent, respectively, and without any duty to account therefor to any Purchaser or any other holder of an interest in Pool Receivables.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2" w:name="page493"/>
    <w:bookmarkEnd w:id="492"/>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8"/>
          <w:szCs w:val="18"/>
          <w:u w:val="single" w:color="auto"/>
          <w:color w:val="auto"/>
        </w:rPr>
        <w:t>Indemnities by Seller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5"/>
        <w:spacing w:after="0" w:line="252" w:lineRule="auto"/>
        <w:tabs>
          <w:tab w:leader="none" w:pos="1028"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Indemnity</w:t>
      </w:r>
      <w:r>
        <w:rPr>
          <w:rFonts w:ascii="Times New Roman" w:cs="Times New Roman" w:eastAsia="Times New Roman" w:hAnsi="Times New Roman"/>
          <w:sz w:val="18"/>
          <w:szCs w:val="18"/>
          <w:color w:val="auto"/>
        </w:rPr>
        <w:t xml:space="preserve">. Without limiting any other rights which any such Person may have hereunder or under applicable Law, but subject to </w:t>
      </w:r>
      <w:r>
        <w:rPr>
          <w:rFonts w:ascii="Times New Roman" w:cs="Times New Roman" w:eastAsia="Times New Roman" w:hAnsi="Times New Roman"/>
          <w:sz w:val="18"/>
          <w:szCs w:val="18"/>
          <w:u w:val="single" w:color="auto"/>
          <w:color w:val="auto"/>
        </w:rPr>
        <w:t>Sections 12.1(b)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13.5</w:t>
      </w:r>
      <w:r>
        <w:rPr>
          <w:rFonts w:ascii="Times New Roman" w:cs="Times New Roman" w:eastAsia="Times New Roman" w:hAnsi="Times New Roman"/>
          <w:sz w:val="18"/>
          <w:szCs w:val="18"/>
          <w:color w:val="auto"/>
        </w:rPr>
        <w:t>, Seller hereby agrees to indemnify and hold harmless each of Agent, each Purchaser, each Purchaser Agent, each Enhancement Provider, each Liquidity Provider, each LOC Issuer, each other Affected Party, each of their respective Affiliates, and all successors, transferees, participants and assigns and all officers, members, managers, directors, shareholders, controlling persons, employees and agents of any of the foregoing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forthwith on demand, from and against any and all damages, losses, claims, liabilities and related reasonable and documented out-of-pocket costs and expenses (including all filing fees), including attorneys’, consultants’ and accountants’ fees and disbursements but excluding all Excluded Taxes (all of the foregoing being collectively referred to as “</w:t>
      </w:r>
      <w:r>
        <w:rPr>
          <w:rFonts w:ascii="Times New Roman" w:cs="Times New Roman" w:eastAsia="Times New Roman" w:hAnsi="Times New Roman"/>
          <w:sz w:val="18"/>
          <w:szCs w:val="18"/>
          <w:u w:val="single" w:color="auto"/>
          <w:color w:val="auto"/>
        </w:rPr>
        <w:t>Indemnified Amounts</w:t>
      </w:r>
      <w:r>
        <w:rPr>
          <w:rFonts w:ascii="Times New Roman" w:cs="Times New Roman" w:eastAsia="Times New Roman" w:hAnsi="Times New Roman"/>
          <w:sz w:val="18"/>
          <w:szCs w:val="18"/>
          <w:color w:val="auto"/>
        </w:rPr>
        <w:t xml:space="preserve">”) awarded against or incurred by any of them arising out of, relating to or in connection with the Transaction Documents, any Cash Collateral Account, the transactions contemplated thereby (including the issuance of, or the fronting for, any Letter of Credit), or the ownership, maintenance or funding, directly or indirectly, of the Asset Interest (or any part thereof), the issuance of or drawing on any Letter of Credit, or in respect of or related to any Collateral including any Receivable or any Related Assets or otherwise arising out of or relating to or in connection with the actions of Seller, Originator, Performance Guarantor, MPI, Servicer or any Affiliate of any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Indemnified Amounts shall be excluded solely to the extent (x) as a result of the gross negligence or willful misconduct on the part of such Indemnified Party as determined by a final non-appealable judgment by a court of competent jurisdiction and (y) they constitute recourse with respect to a Pool Receivable by reason of the bankruptcy or insolvency, or the financial or credit condition or financial default, of the related Obligor. Without limiting the foregoing, Seller shall indemnify, subject to the express limitations set forth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and hold harmless each Indemnified Party for any and all Indemnified Amounts arising out of, relating to or in connection with:</w:t>
      </w:r>
    </w:p>
    <w:p>
      <w:pPr>
        <w:spacing w:after="0" w:line="194"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666"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by Seller or Originator of any interest in any Pool Receivable other than the transfer of any Pool Receivable and Related Assets to Agent and any Purchaser pursuant to this Agreement, to Agent and to Seller pursuant to the Sale Agreement and the grant of a security interest to Agent pursuant to this Agreement and to Seller pursuant to the Sale Agreement;</w:t>
      </w:r>
    </w:p>
    <w:p>
      <w:pPr>
        <w:spacing w:after="0" w:line="176" w:lineRule="exact"/>
        <w:rPr>
          <w:rFonts w:ascii="Times New Roman" w:cs="Times New Roman" w:eastAsia="Times New Roman" w:hAnsi="Times New Roman"/>
          <w:sz w:val="18"/>
          <w:szCs w:val="18"/>
          <w:color w:val="auto"/>
        </w:rPr>
      </w:pPr>
    </w:p>
    <w:p>
      <w:pPr>
        <w:jc w:val="both"/>
        <w:ind w:left="640" w:firstLine="653"/>
        <w:spacing w:after="0" w:line="261" w:lineRule="auto"/>
        <w:tabs>
          <w:tab w:leader="none" w:pos="174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Seller, Performance Guarantor, any New Owner, Originator or Servicer (or any of their respective officers or Affiliates) under or in connection with any Transaction Document, any Information Package or any other information or report delivered by or on behalf of Seller pursuant hereto, which shall have been untrue, false or incorrect when made or deemed made;</w:t>
      </w:r>
    </w:p>
    <w:p>
      <w:pPr>
        <w:spacing w:after="0" w:line="180" w:lineRule="exact"/>
        <w:rPr>
          <w:rFonts w:ascii="Times New Roman" w:cs="Times New Roman" w:eastAsia="Times New Roman" w:hAnsi="Times New Roman"/>
          <w:sz w:val="18"/>
          <w:szCs w:val="18"/>
          <w:color w:val="auto"/>
        </w:rPr>
      </w:pPr>
    </w:p>
    <w:p>
      <w:pPr>
        <w:ind w:left="1760" w:hanging="467"/>
        <w:spacing w:after="0"/>
        <w:tabs>
          <w:tab w:leader="none" w:pos="176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Seller, Originator, any New Owner, MPI, Performance Guarantor or Servicer to comply with the terms of any</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w:t>
      </w:r>
    </w:p>
    <w:p>
      <w:pPr>
        <w:spacing w:after="0" w:line="200" w:lineRule="exact"/>
        <w:rPr>
          <w:sz w:val="20"/>
          <w:szCs w:val="20"/>
          <w:color w:val="auto"/>
        </w:rPr>
      </w:pPr>
    </w:p>
    <w:p>
      <w:pPr>
        <w:spacing w:after="0" w:line="395" w:lineRule="exact"/>
        <w:rPr>
          <w:sz w:val="20"/>
          <w:szCs w:val="20"/>
          <w:color w:val="auto"/>
        </w:rPr>
      </w:pPr>
    </w:p>
    <w:p>
      <w:pPr>
        <w:ind w:left="5020"/>
        <w:spacing w:after="0"/>
        <w:tabs>
          <w:tab w:leader="none" w:pos="98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0"/>
          </w:cols>
          <w:pgMar w:left="900" w:top="360" w:right="239" w:bottom="1440" w:gutter="0" w:footer="0" w:header="0"/>
        </w:sectPr>
      </w:pPr>
    </w:p>
    <w:bookmarkStart w:id="493" w:name="page494"/>
    <w:bookmarkEnd w:id="493"/>
    <w:p>
      <w:pPr>
        <w:ind w:left="100" w:right="20"/>
        <w:spacing w:after="0" w:line="282" w:lineRule="auto"/>
        <w:rPr>
          <w:sz w:val="20"/>
          <w:szCs w:val="20"/>
          <w:color w:val="auto"/>
        </w:rPr>
      </w:pPr>
      <w:r>
        <w:rPr>
          <w:rFonts w:ascii="Times New Roman" w:cs="Times New Roman" w:eastAsia="Times New Roman" w:hAnsi="Times New Roman"/>
          <w:sz w:val="18"/>
          <w:szCs w:val="18"/>
          <w:color w:val="auto"/>
        </w:rPr>
        <w:t>Document or any applicable Law (including with respect to any Pool Receivable or Related Assets), or the nonconformity of any Pool Receivable or Related Assets with any such Law;</w:t>
      </w:r>
    </w:p>
    <w:p>
      <w:pPr>
        <w:spacing w:after="0" w:line="162" w:lineRule="exact"/>
        <w:rPr>
          <w:sz w:val="20"/>
          <w:szCs w:val="20"/>
          <w:color w:val="auto"/>
        </w:rPr>
      </w:pPr>
    </w:p>
    <w:p>
      <w:pPr>
        <w:ind w:left="100" w:firstLine="653"/>
        <w:spacing w:after="0" w:line="282" w:lineRule="auto"/>
        <w:tabs>
          <w:tab w:leader="none" w:pos="126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enforceable ownership interest, or a first priority perfected Lien, in the Pool Receivables (and all Related Security) against all Persons (including any bankruptcy trustee or similar Person);</w:t>
      </w:r>
    </w:p>
    <w:p>
      <w:pPr>
        <w:spacing w:after="0" w:line="161" w:lineRule="exact"/>
        <w:rPr>
          <w:rFonts w:ascii="Times New Roman" w:cs="Times New Roman" w:eastAsia="Times New Roman" w:hAnsi="Times New Roman"/>
          <w:sz w:val="18"/>
          <w:szCs w:val="18"/>
          <w:color w:val="auto"/>
        </w:rPr>
      </w:pPr>
    </w:p>
    <w:p>
      <w:pPr>
        <w:ind w:left="1140" w:hanging="387"/>
        <w:spacing w:after="0"/>
        <w:tabs>
          <w:tab w:leader="none" w:pos="11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Dilution or Contractual Dilution;</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19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file, or any delay in filing of, financing statements or other similar instruments or documents under the UCC of any applicable jurisdiction or under any other applicable Laws with respect to any Pool Receivable as may be necessary from time to time to perfect the Seller’s or the Agent’s interest therein;</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238"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claim, offset or defense (other than discharge in bankruptcy) of the Obligor to the payment of any Receivable in the Receivables Pool (including a defense based on such Receivable’s or the related Contract’s not being a legal, valid and binding obligation of such Obligor enforceable against it in accordance with its terms) or any other claim resulting from the sale of the merchandise or services related to such Receivable or the furnishing or failure to furnish such merchandise or services;</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42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suit or claim related to the Pool Receivables or any Transaction Document (including any products liability or environmental liability claim arising out of or in connection with merchandise or services that are the subject of any Pool Receivable to the extent not covered pursuant to </w:t>
      </w:r>
      <w:r>
        <w:rPr>
          <w:rFonts w:ascii="Times New Roman" w:cs="Times New Roman" w:eastAsia="Times New Roman" w:hAnsi="Times New Roman"/>
          <w:sz w:val="18"/>
          <w:szCs w:val="18"/>
          <w:u w:val="single" w:color="auto"/>
          <w:color w:val="auto"/>
        </w:rPr>
        <w:t>Section 13.5</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33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delivery, non-delivery, possession, design, construction, use, maintenance, transportation, performance (whether or not according to specifications), operation (including the failure to operate or faulty operation), condition, return, sale, repossession or other disposition or safety of any Related Security (including claims for patent, trademark, or copyright infringement and claims for injury to persons or property, liability principles, or otherwise, and claims of breach of warranty, whether express or implied);</w:t>
      </w:r>
    </w:p>
    <w:p>
      <w:pPr>
        <w:spacing w:after="0" w:line="180"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22"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Seller, Servicer, Performance Guarantor or Originator or any Affiliate thereof to notify any Obligor of the assignment pursuant to the terms hereof of any Pool Receivable to Agent for the benefit of Purchasers or the failure to require that payments (including any under the related insurance policies) be made directly to Agent for the benefit of Purchasers;</w:t>
      </w:r>
    </w:p>
    <w:p>
      <w:pPr>
        <w:spacing w:after="0" w:line="176" w:lineRule="exact"/>
        <w:rPr>
          <w:rFonts w:ascii="Times New Roman" w:cs="Times New Roman" w:eastAsia="Times New Roman" w:hAnsi="Times New Roman"/>
          <w:sz w:val="18"/>
          <w:szCs w:val="18"/>
          <w:color w:val="auto"/>
        </w:rPr>
      </w:pPr>
    </w:p>
    <w:p>
      <w:pPr>
        <w:ind w:left="1220" w:hanging="467"/>
        <w:spacing w:after="0"/>
        <w:tabs>
          <w:tab w:leader="none" w:pos="122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Seller, Originator, Performance Guarantor or Servicer to comply with the “bulk sales” or analogous Laws of any</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0" w:lineRule="exact"/>
        <w:rPr>
          <w:sz w:val="20"/>
          <w:szCs w:val="20"/>
          <w:color w:val="auto"/>
        </w:rPr>
      </w:pPr>
    </w:p>
    <w:p>
      <w:pPr>
        <w:spacing w:after="0" w:line="395"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94" w:name="page495"/>
    <w:bookmarkEnd w:id="494"/>
    <w:p>
      <w:pPr>
        <w:jc w:val="both"/>
        <w:ind w:left="100" w:firstLine="653"/>
        <w:spacing w:after="0" w:line="258" w:lineRule="auto"/>
        <w:tabs>
          <w:tab w:leader="none" w:pos="1405"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(other than Excluded Taxes) imposed upon any Indemnified Party or upon or with respect to the Pool Receivables, all interest and penalties thereon or with respect thereto, and all costs and expenses related thereto or arising therefrom, including the fees and expenses of counsel in defending against the same, which Taxes or such amounts relating thereto arise by reason of the purchase or ownership, contribution or sale of any Pool Receivables (or of any interest therein) or Related Assets or any goods which secure any such Pool Receivables or Related Asset;</w:t>
      </w:r>
    </w:p>
    <w:p>
      <w:pPr>
        <w:spacing w:after="0" w:line="183" w:lineRule="exact"/>
        <w:rPr>
          <w:rFonts w:ascii="Times New Roman" w:cs="Times New Roman" w:eastAsia="Times New Roman" w:hAnsi="Times New Roman"/>
          <w:sz w:val="18"/>
          <w:szCs w:val="18"/>
          <w:color w:val="auto"/>
        </w:rPr>
      </w:pPr>
    </w:p>
    <w:p>
      <w:pPr>
        <w:ind w:left="100" w:firstLine="653"/>
        <w:spacing w:after="0" w:line="282" w:lineRule="auto"/>
        <w:tabs>
          <w:tab w:leader="none" w:pos="1366"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arising, directly or indirectly, as a result of the imposition of sales or analogous taxes or the failure by Seller, Originator, Performance Guarantor or Servicer to timely collect and remit to the appropriate authority any such taxes;</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434"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commingling of any Collections by Seller, Originator, Performance Guarantor or Servicer relating to the Pool Receivables with any of their funds or the funds of any other Person;</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243"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Seller, Originator, any New Owner, Performance Guarantor or Servicer to perform its duties or obligations in accordance with the provisions of the Transaction Documents;</w:t>
      </w:r>
    </w:p>
    <w:p>
      <w:pPr>
        <w:spacing w:after="0" w:line="161" w:lineRule="exact"/>
        <w:rPr>
          <w:rFonts w:ascii="Times New Roman" w:cs="Times New Roman" w:eastAsia="Times New Roman" w:hAnsi="Times New Roman"/>
          <w:sz w:val="18"/>
          <w:szCs w:val="18"/>
          <w:color w:val="auto"/>
        </w:rPr>
      </w:pPr>
    </w:p>
    <w:p>
      <w:pPr>
        <w:ind w:left="1280" w:hanging="527"/>
        <w:spacing w:after="0"/>
        <w:tabs>
          <w:tab w:leader="none" w:pos="128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delay to provide any Obligor with an invoice or other evidence of indebtedness; or</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333"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Originator or Seller to assign any Receivable or other Related Asset as contemplated under the Transaction Documents; or the violation or breach by Originator, Seller, Servicer, Performance Guarantor or any of their respective Affiliates of any confidentiality provision, or of any similar covenant of non-disclosure, with respect to any Contract, or any other Indemnified Amount with respect to or resulting from any such violation or breach.</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53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indemnify and hold harmless each LOC Issuer (including any related confirming bank), each Purchaser, Agent and each Purchaser Agent and their respective Affiliates that have issued or participated in a Letter of Credit, upon demand, from and against any and all liabilities, obligations, claims, damages, taxes, penalties, actions, judgments, suits, losses, costs, charges, expenses (including reasonable attorneys fees) or disbursements of any kind or nature whatsoever which may be imposed on, incurred by, or asserted against such Person, directly or indirectly, or otherwise arising out of or relating to or in connection with this Agreement, any other Transaction Document, any Cash Collateral Account or any Letter of Credit issued in connection therewith, provided only that any such Person shall not be entitled under this paragraph to receive indemnification for that portion if any, of any liabilities and costs to the extent such liabilities and costs are caused by its own individual gross negligence or wilful misconduct, as determined in a final non-appealable judgment by a court of competent jurisdiction.</w:t>
      </w:r>
    </w:p>
    <w:p>
      <w:pPr>
        <w:spacing w:after="0" w:line="200" w:lineRule="exact"/>
        <w:rPr>
          <w:sz w:val="20"/>
          <w:szCs w:val="20"/>
          <w:color w:val="auto"/>
        </w:rPr>
      </w:pPr>
    </w:p>
    <w:p>
      <w:pPr>
        <w:spacing w:after="0" w:line="374" w:lineRule="exact"/>
        <w:rPr>
          <w:sz w:val="20"/>
          <w:szCs w:val="20"/>
          <w:color w:val="auto"/>
        </w:rPr>
      </w:pPr>
    </w:p>
    <w:p>
      <w:pPr>
        <w:ind w:left="4480"/>
        <w:spacing w:after="0"/>
        <w:tabs>
          <w:tab w:leader="none" w:pos="93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20"/>
          </w:cols>
          <w:pgMar w:left="1440" w:top="364" w:right="239" w:bottom="1440" w:gutter="0" w:footer="0" w:header="0"/>
        </w:sectPr>
      </w:pPr>
    </w:p>
    <w:bookmarkStart w:id="495" w:name="page496"/>
    <w:bookmarkEnd w:id="495"/>
    <w:p>
      <w:pPr>
        <w:jc w:val="both"/>
        <w:ind w:left="660" w:firstLine="645"/>
        <w:spacing w:after="0" w:line="254" w:lineRule="auto"/>
        <w:tabs>
          <w:tab w:leader="none" w:pos="175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Contest of Tax Claim; After-Tax Basis</w:t>
      </w:r>
      <w:r>
        <w:rPr>
          <w:rFonts w:ascii="Times New Roman" w:cs="Times New Roman" w:eastAsia="Times New Roman" w:hAnsi="Times New Roman"/>
          <w:sz w:val="18"/>
          <w:szCs w:val="18"/>
          <w:color w:val="auto"/>
        </w:rPr>
        <w:t xml:space="preserve">. If any Indemnified Party shall have notice of any attempt to impose or collect any Tax or governmental fee or charge for which indemnification will be sought from Seller under </w:t>
      </w:r>
      <w:r>
        <w:rPr>
          <w:rFonts w:ascii="Times New Roman" w:cs="Times New Roman" w:eastAsia="Times New Roman" w:hAnsi="Times New Roman"/>
          <w:sz w:val="18"/>
          <w:szCs w:val="18"/>
          <w:u w:val="single" w:color="auto"/>
          <w:color w:val="auto"/>
        </w:rPr>
        <w:t>Sections 12.1(a)(xi)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such Indemnified Party shall give prompt and timely notice of such attempt to Seller and Seller shall, provided that Seller shall first deposit with Agent amounts which are sufficient to pay both the aforesaid tax, fee or charge and the costs and expenses of the Indemnified Parties, have the right, at its sole expense, to participate in any proceedings resisting or objecting to the imposition or collection of any such Tax, governmental fee or charge. Indemnification in respect of such tax, governmental fee or charge shall be in an amount necessary to make the Indemnified Party whole after taking into account any tax consequences to the Indemnified Party of the payment of any of the aforesaid Taxes and the receipt of the indemnity provided hereunder or of any refund of any such Tax previously indemnified hereunder, including the effect of such Tax or refund on the amount of Tax measured by net income or profits which is or was payable by the Indemnified Party.</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52"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for any reason the indemnification provided above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is unavailable to an Indemnified Party or is insufficient to hold an Indemnified Party harmless, then Seller shall contribute to the amount paid or payable by such Indemnified Party as a result of such loss, claim, damage or liability in such proportion as is appropriate to reflect not only the relative benefits received by such Indemnified Party on the one hand and Seller on the other hand but also the relative fault of such Indemnified Party as well as any other relevant equitable considerations.</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68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Notwithstanding the foregoing, the indemnities provided for in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not be payable by Seller solely with respect to any settlements entered into by any Indemnified Party with any third-party that is not an Affiliate of Seller, Servicer, Originator or Performance Guarantor that was effected without the Seller’s written consent, such consent not to be unreasonably withheld, conditioned or delayed.</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u w:val="single" w:color="auto"/>
          <w:color w:val="auto"/>
        </w:rPr>
        <w:t>Indemnity by Servicer</w:t>
      </w:r>
      <w:r>
        <w:rPr>
          <w:rFonts w:ascii="Times New Roman" w:cs="Times New Roman" w:eastAsia="Times New Roman" w:hAnsi="Times New Roman"/>
          <w:sz w:val="18"/>
          <w:szCs w:val="18"/>
          <w:color w:val="auto"/>
        </w:rPr>
        <w:t>. Without limiting any other rights which any such Person may have hereunder or under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Servicer agrees to indemnify and hold harmless each Indemnified Party from any and all Indemnified Amounts incurred by any of them and arising out of, relating to or in connection with: (i) any breach by it (in any capacity) of any of its obligations or duties under this Agreement or any other Transaction Document; (ii) the untruth or inaccuracy of any representation or warranty made by it (in any capacity) hereunder, under any other Transaction Document or in any certificate or statement delivered pursuant hereto or to any other Transaction Document, including any Information Package, when such representation or warranty was made or deemed made; (iii) the failure of any information contained in an Information Package to be true and correct, or the failure of any other written information provided to any such Indemnified Party by, or on behalf of, Servicer (in any capacity) to be true and correct when such information was provided; (iv) any negligence or willful misconduct on its (in any capacity) part arising out of, relating to, in connection with, or affecting any transaction contemplated by the Transaction Documents, any Receivable or any Related Asset; (v) the failure by Servicer (in any capacity) to comply with any applicable Law, rule or regulation with respect to any Receivable or the related Contract or its servicing thereof;</w:t>
      </w:r>
    </w:p>
    <w:p>
      <w:pPr>
        <w:spacing w:after="0" w:line="200" w:lineRule="exact"/>
        <w:rPr>
          <w:sz w:val="20"/>
          <w:szCs w:val="20"/>
          <w:color w:val="auto"/>
        </w:rPr>
      </w:pPr>
    </w:p>
    <w:p>
      <w:pPr>
        <w:spacing w:after="0" w:line="379"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color w:val="auto"/>
        </w:rPr>
        <w:t>(vi) any commingling of any funds by it (in any capacity) relating to the Collateral with any of its funds or the funds of any other Person.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modification or waiver of any provision of this Agreement nor consent to any departure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or Servicer therefrom shall in any event be effective unless the same shall be in writing and signed by Seller, Agent, Servicer, and the Required Purchaser Agents, each LOC Issuer and, if such amendment, modification or waiver affects the obligations of the Performance Guarantor, the Performance Guarantor consents in writing,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amendment, waiver or modification shall (i) decrease the outstanding amount of, or extend the repayment of or any scheduled payment date for the payment of, any Yield in respect of Purchasers’ Total Investment or any fees owed to any Purchaser or Agent without the prior written consent of such Purchaser or Agent; (ii) forgive or waive or otherwise excuse any repayment of Purchasers’ Total Investment without the prior written consent of each Purchaser and the related Purchaser Agent affected thereby; (iii) increase the Commitment of any Purchaser without its prior written consent; (iv) amend or modify the ratable share of any Committed Purchaser’s Commitment or its percentage of the Purchasers’ Total Commitment without such Committed Purchaser’s prior written consent; (v) amend or modify the provisions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the definition of “Defaulted Receivable”, “Eligible Receivable”, “Required Purchasers”, “Required Purchaser Agents”, “Net Pool Balance”, “Receivable” “Related Asset”, “Required Reserve” or any of the definitions used in such definition, “Specified Concentration Percentage” (other than any permitted changes contemplated by the definition thereof), “Termination Event” or “Yield Period” or any of the definitions used in any such definition, in each case without the prior written consent of all Purchasers adversely affected or potentially adversely affected that have a Commitment and their related Purchaser Agent; (vi) waive any Termination Event without the prior written consent of each Purchaser and the related Purchaser Agent; (vii) release all or substantially all of the Collateral or release or waive any obligation of the Performance Guarantor without the prior written consent of each Purchaser and the related Purchaser Agent; or (viii) amend, waive or modify any definition or provision expressly requiring the consent of the Required Purchasers without the prior written consent of each Purchaser and the related Purchaser Agent, and, in the case of any amendment, by the other parties thereto; and then such amendment, modification,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consent of Seller and Servicer shall not be required for the effectiveness of any amendment which modifies on a prospective basis, the representations, warranties, covenants or responsibilities of Servicer at any time when Servicer is not MPI or an Affiliate of MPI or a successor Servicer is designated by Agent through a Successor Notice. Notwithstanding anything in any Transaction Document to the contrary, until the Final Payout Date none of Seller or Servicer shall (and shall not permit the Performance Guarantor to) amend, waive or otherwise modify any other Transaction Document, or consent to any such amendment or modification, without the prior written consent of Agent, the Required Purchaser Agents.</w:t>
      </w:r>
    </w:p>
    <w:p>
      <w:pPr>
        <w:spacing w:after="0" w:line="200" w:lineRule="exact"/>
        <w:rPr>
          <w:sz w:val="20"/>
          <w:szCs w:val="20"/>
          <w:color w:val="auto"/>
        </w:rPr>
      </w:pPr>
    </w:p>
    <w:p>
      <w:pPr>
        <w:spacing w:after="0" w:line="379"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7" w:name="page498"/>
    <w:bookmarkEnd w:id="49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All notices and other communications provided for hereunder shall, unless otherwise stated herein,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facsimile and email communication) and shall be personally delivered or sent by express mail or nationally recognized overnight courier or by certified mail, first class postage prepaid, or by facsimile or email, to the intended party at the address, facsimile number or email address of such party set forth in </w:t>
      </w:r>
      <w:r>
        <w:rPr>
          <w:rFonts w:ascii="Times New Roman" w:cs="Times New Roman" w:eastAsia="Times New Roman" w:hAnsi="Times New Roman"/>
          <w:sz w:val="18"/>
          <w:szCs w:val="18"/>
          <w:u w:val="single" w:color="auto"/>
          <w:color w:val="auto"/>
        </w:rPr>
        <w:t>Schedule 13.2</w:t>
      </w:r>
      <w:r>
        <w:rPr>
          <w:rFonts w:ascii="Times New Roman" w:cs="Times New Roman" w:eastAsia="Times New Roman" w:hAnsi="Times New Roman"/>
          <w:sz w:val="18"/>
          <w:szCs w:val="18"/>
          <w:color w:val="auto"/>
        </w:rPr>
        <w:t xml:space="preserve"> or at such other address, facsimile number or email address as shall be designated by such party in a written notice to the other parties hereto. All such notices and communications shall be effective, (a) if personally delivered or sent by express mail or courier or if sent by certified mail, when received, and (b) if transmitted by facsimile or email, when receipt is confirmed by telephonic or electronic means. The Agent hereby acknowledges and agrees to deliver any material written notice it receives from the Seller, Servicer, MPI or Performance Guarantor required to be delivered to Agent hereunder or under any other Transaction Document to each Purchaser Agent promptly upon its receipt thereof.</w:t>
      </w:r>
    </w:p>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13.3</w:t>
      </w:r>
      <w:r>
        <w:rPr>
          <w:sz w:val="20"/>
          <w:szCs w:val="20"/>
          <w:color w:val="auto"/>
        </w:rPr>
        <w:tab/>
      </w:r>
      <w:r>
        <w:rPr>
          <w:rFonts w:ascii="Times New Roman" w:cs="Times New Roman" w:eastAsia="Times New Roman" w:hAnsi="Times New Roman"/>
          <w:sz w:val="18"/>
          <w:szCs w:val="18"/>
          <w:u w:val="single" w:color="auto"/>
          <w:color w:val="auto"/>
        </w:rPr>
        <w:t>Successors and Assigns; Participations; Assignments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5"/>
        <w:spacing w:after="0" w:line="261" w:lineRule="auto"/>
        <w:tabs>
          <w:tab w:leader="none" w:pos="1769"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 Except as otherwise provided herein, neither Seller nor MPI, individually or as Servicer, may assign or transfer any of its rights or delegate any of its duties hereunder or under any Transaction Document without the prior consent of Agent, LOC Issuer and the Purchaser Agents.</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39"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Purchaser may sell to one or more Persons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a participating interest in the interests of such Purchaser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Purchaser shall grant any participation under which the Participant shall have rights to approve any amendment to or waiver of this Agreement or any other Transaction Document. Such Purchaser shall remain solely responsible for performing its obligations hereunder, and Seller, Servicer, LOC Issuer and Agent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68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All or any portion of each Purchaser’s rights or obligations hereunder (including each Purchase made by it hereunder) or in any other Transaction Document and all or any portion of each such Purchaser’s interest in the Asset Interest shall be freely assignable by such Purchaser and its successors and assigns to (i) (A) any Liquidity Provider or any Enhancement Provider, (B) any other LOC Issuer, Purchaser or any of their Affiliates or (C) any Person managed by any other Purchaser or any of its Affiliates, in each case with (x) the prior written consent of Agent unless to a Purchaser or other related party and (y) prior written notice to Seller or (ii) any other Person with the prior written consent of Seller (such consent not to be unreasonably withheld, conditioned or delayed); it being understood that such consent of Seller shall not be required following the occurrence of any Event of Default.</w:t>
      </w:r>
    </w:p>
    <w:p>
      <w:pPr>
        <w:spacing w:after="0" w:line="200" w:lineRule="exact"/>
        <w:rPr>
          <w:sz w:val="20"/>
          <w:szCs w:val="20"/>
          <w:color w:val="auto"/>
        </w:rPr>
      </w:pPr>
    </w:p>
    <w:p>
      <w:pPr>
        <w:spacing w:after="0" w:line="378"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59" w:right="239" w:bottom="1440" w:gutter="0" w:footer="0" w:header="0"/>
        </w:sectPr>
      </w:pPr>
    </w:p>
    <w:bookmarkStart w:id="498" w:name="page499"/>
    <w:bookmarkEnd w:id="498"/>
    <w:p>
      <w:pPr>
        <w:jc w:val="both"/>
        <w:ind w:left="660" w:right="20" w:firstLine="645"/>
        <w:spacing w:after="0" w:line="266" w:lineRule="auto"/>
        <w:tabs>
          <w:tab w:leader="none" w:pos="17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each LOC Issuer may assign its interest hereunder with the consent of the Seller (such consent not to be unreasonably withheld, conditional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such consent shall not be required for any assignment to any Committed Purchaser, any other LOC Issuer, or any of their respective Affiliates or at any time during the existence of any Event of Default).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01"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If requested by Agent or an assigning Purchaser or related Purchaser Agent or necessary to maintain the ratings of any Conduit Purchaser’s Commercial Paper Notes, each assignment agreement or transfer supplement, as the case may be, must be accompanied by an opinion of counsel of the assignee as to such matters as Agent or such Purchaser or the related Purchaser Agent may reasonably request.</w:t>
      </w:r>
    </w:p>
    <w:p>
      <w:pPr>
        <w:spacing w:after="0" w:line="176"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6" w:lineRule="auto"/>
        <w:tabs>
          <w:tab w:leader="none" w:pos="2313"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or the Agent, acting solely for this purpose on Seller’s behalf, shall maintain a register for the recordation of the names and addresses of the Purchasers, and the Funded Purchases (and Yield, fees and other similar amounts under this Agreement)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each of the parties hereto shall treat each Person whose name is recorded in the Register pursuant to the terms hereof as a lender solely for U.S. federal income tax purposes. The Register shall be available for inspection by the Purchasers,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left="1300" w:firstLine="653"/>
        <w:spacing w:after="0" w:line="255" w:lineRule="auto"/>
        <w:tabs>
          <w:tab w:leader="none" w:pos="2453"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that makes an assignment or sells a participating interest under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acting solely for this purpose on Seller’s behalf, shall maintain a Register of each assignee and/or Participant and its interest or obligations under the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Purchaser shall have any obligation to disclose all or any portion of this Register (including the identity of any Participant or any information relating to a Participant’s interest in any Funded Purchases or Asset Interests) to any Person except to the extent that such disclosure is necessary to establish that such interest or obligation that is treated as indebtedness for U.S. federal income tax purposes is in registered form under Section 5f.103-1(c) of the United States Treasury Regulations. The entries in the Register shall be conclusive absent manifest error.</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Agent, any Liquidity Provider, any Enhancement Provider, any LOC Issuer,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Party, any Purchaser, any Purchaser Agent, any other Indemnified Party, any other Secured Party or any other holder of the Asset Interest (or any portion thereof) to exercise, and no delay in exercising, any right, power or remedy hereunder shall operate as a waiver thereof; nor shall any single or partial exercise of any right, power or remedy hereunder preclude any other or further exercise thereof or the exercise of any other right, power or remedy. The rights and remedies herein provided are cumulative and not exclusive of any rights or remedies provided by Law. Any waiver of this Agreement shall be effective only in the specific instance and for the specific purpose for which given. Without limiting the foregoing, each Purchaser, each Purchaser Agent,</w:t>
      </w:r>
    </w:p>
    <w:p>
      <w:pPr>
        <w:spacing w:after="0" w:line="200" w:lineRule="exact"/>
        <w:rPr>
          <w:sz w:val="20"/>
          <w:szCs w:val="20"/>
          <w:color w:val="auto"/>
        </w:rPr>
      </w:pPr>
    </w:p>
    <w:p>
      <w:pPr>
        <w:spacing w:after="0" w:line="37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499" w:name="page500"/>
    <w:bookmarkEnd w:id="499"/>
    <w:p>
      <w:pPr>
        <w:jc w:val="both"/>
        <w:spacing w:after="0" w:line="256" w:lineRule="auto"/>
        <w:rPr>
          <w:sz w:val="20"/>
          <w:szCs w:val="20"/>
          <w:color w:val="auto"/>
        </w:rPr>
      </w:pPr>
      <w:r>
        <w:rPr>
          <w:rFonts w:ascii="Times New Roman" w:cs="Times New Roman" w:eastAsia="Times New Roman" w:hAnsi="Times New Roman"/>
          <w:sz w:val="18"/>
          <w:szCs w:val="18"/>
          <w:color w:val="auto"/>
        </w:rPr>
        <w:t>BTMUNY, individually and as Agent, each Enhancement Provider, each Liquidity Provider, each LOC Issuer and any of their Affiliates (the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are each hereby authorized by Servicer and Seller at any time and from time to time, to the fullest extent permitted by Law, to set off and apply any and all deposits (general or special, time or demand, provisional or final) at any time held by, and other indebtedness at any time owing to, any such Set-off Party to or for the credit to the account of Servicer or Seller, as applicable, against any and all obligations of Servicer or Seller, as applicable, now or hereafter existing under this Agreement or any other Transaction Document, to any Affected Party, any Indemnified Party or any other Secured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Servicer or Seller, as applicable, shall be notified by the applicable set-off party concurrently with or prior to any such setoff.</w:t>
      </w:r>
    </w:p>
    <w:p>
      <w:pPr>
        <w:spacing w:after="0" w:line="18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13.5</w:t>
      </w:r>
      <w:r>
        <w:rPr>
          <w:sz w:val="20"/>
          <w:szCs w:val="20"/>
          <w:color w:val="auto"/>
        </w:rPr>
        <w:tab/>
      </w:r>
      <w:r>
        <w:rPr>
          <w:rFonts w:ascii="Times New Roman" w:cs="Times New Roman" w:eastAsia="Times New Roman" w:hAnsi="Times New Roman"/>
          <w:sz w:val="18"/>
          <w:szCs w:val="18"/>
          <w:u w:val="single" w:color="auto"/>
          <w:color w:val="auto"/>
        </w:rPr>
        <w:t>Binding Effect; Survival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5"/>
        <w:spacing w:after="0" w:line="266" w:lineRule="auto"/>
        <w:tabs>
          <w:tab w:leader="none" w:pos="172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to the benefit of Seller, Servicer, Agent, each Purchaser, each LOC Issuer and their respective successors and permitted assigns, and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inure to the benefit of the Affected Parties, the Secured Parties and the Indemnified Parties, respectively, and in each case, their respective successors and permitted assigns.</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37"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Liquidity Provider, each Enhancement Provider and each other Secured Party are express third party beneficiaries hereof. This Agreement shall not confer any rights or remedies upon any other Person, other than the third party beneficiaries specified in this </w:t>
      </w:r>
      <w:r>
        <w:rPr>
          <w:rFonts w:ascii="Times New Roman" w:cs="Times New Roman" w:eastAsia="Times New Roman" w:hAnsi="Times New Roman"/>
          <w:sz w:val="18"/>
          <w:szCs w:val="18"/>
          <w:u w:val="single" w:color="auto"/>
          <w:color w:val="auto"/>
        </w:rPr>
        <w:t>Section 13.5(b)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6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create and constitute the continuing obligations of the parties hereto in accordance with its terms, and shall remain in full force and effect until the Final Payout Date. The rights and remedies with respect to any breach of any representation and warranty made by Seller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indemnification and payment provisions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13.14</w:t>
      </w:r>
      <w:r>
        <w:rPr>
          <w:rFonts w:ascii="Times New Roman" w:cs="Times New Roman" w:eastAsia="Times New Roman" w:hAnsi="Times New Roman"/>
          <w:sz w:val="18"/>
          <w:szCs w:val="18"/>
          <w:color w:val="auto"/>
        </w:rPr>
        <w:t xml:space="preserve"> shall be continuing and shall survive any termination of this Agreement.</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13.6</w:t>
      </w:r>
      <w:r>
        <w:rPr>
          <w:sz w:val="20"/>
          <w:szCs w:val="20"/>
          <w:color w:val="auto"/>
        </w:rPr>
        <w:tab/>
      </w:r>
      <w:r>
        <w:rPr>
          <w:rFonts w:ascii="Times New Roman" w:cs="Times New Roman" w:eastAsia="Times New Roman" w:hAnsi="Times New Roman"/>
          <w:sz w:val="18"/>
          <w:szCs w:val="18"/>
          <w:u w:val="single" w:color="auto"/>
          <w:color w:val="auto"/>
        </w:rPr>
        <w:t>Costs, Expenses and Taxes</w:t>
      </w:r>
      <w:r>
        <w:rPr>
          <w:rFonts w:ascii="Times New Roman" w:cs="Times New Roman" w:eastAsia="Times New Roman" w:hAnsi="Times New Roman"/>
          <w:sz w:val="18"/>
          <w:szCs w:val="18"/>
          <w:color w:val="auto"/>
        </w:rPr>
        <w:t>. In addition to its obligations under</w:t>
      </w:r>
      <w:r>
        <w:rPr>
          <w:rFonts w:ascii="Times New Roman" w:cs="Times New Roman" w:eastAsia="Times New Roman" w:hAnsi="Times New Roman"/>
          <w:sz w:val="18"/>
          <w:szCs w:val="18"/>
          <w:u w:val="single" w:color="auto"/>
          <w:color w:val="auto"/>
        </w:rPr>
        <w:t xml:space="preserve"> Article XII</w:t>
      </w:r>
      <w:r>
        <w:rPr>
          <w:rFonts w:ascii="Times New Roman" w:cs="Times New Roman" w:eastAsia="Times New Roman" w:hAnsi="Times New Roman"/>
          <w:sz w:val="18"/>
          <w:szCs w:val="18"/>
          <w:color w:val="auto"/>
        </w:rPr>
        <w:t>, Seller agrees to pay on demand:</w:t>
      </w:r>
    </w:p>
    <w:p>
      <w:pPr>
        <w:spacing w:after="0" w:line="229" w:lineRule="exact"/>
        <w:rPr>
          <w:sz w:val="20"/>
          <w:szCs w:val="20"/>
          <w:color w:val="auto"/>
        </w:rPr>
      </w:pPr>
    </w:p>
    <w:p>
      <w:pPr>
        <w:jc w:val="both"/>
        <w:ind w:left="660" w:firstLine="645"/>
        <w:spacing w:after="0" w:line="266" w:lineRule="auto"/>
        <w:tabs>
          <w:tab w:leader="none" w:pos="1762"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or on behalf of Agent, each Liquidity Provider, each Enhancement Provider, each LOC Issuer, each Purchaser, each Purchaser Agent each other Secured Party and their respective Affiliates in connection with:</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446"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preparation, execution and delivery of this Agreement and the other Transaction Documents and any amendment of or consent or waiver under any of the Transaction Documents (whether or not consummated) including accountants’, auditors’, consultants’ and attorneys’ fees of a single counsel (and, if necessary, one local counsel in each applicable jurisdiction and regulatory counsel) and expenses to any of such Persons and the fees and charges of any nationally recognized statistical rating agency or any</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5" w:right="239" w:bottom="1440" w:gutter="0" w:footer="0" w:header="0"/>
        </w:sectPr>
      </w:pPr>
    </w:p>
    <w:bookmarkStart w:id="500" w:name="page501"/>
    <w:bookmarkEnd w:id="500"/>
    <w:p>
      <w:pPr>
        <w:ind w:left="1300"/>
        <w:spacing w:after="0"/>
        <w:rPr>
          <w:sz w:val="20"/>
          <w:szCs w:val="20"/>
          <w:color w:val="auto"/>
        </w:rPr>
      </w:pPr>
      <w:r>
        <w:rPr>
          <w:rFonts w:ascii="Times New Roman" w:cs="Times New Roman" w:eastAsia="Times New Roman" w:hAnsi="Times New Roman"/>
          <w:sz w:val="18"/>
          <w:szCs w:val="18"/>
          <w:color w:val="auto"/>
        </w:rPr>
        <w:t>independent accountants, auditors, consultants or other agents incurred in connection with any of the foregoing; and</w:t>
      </w:r>
    </w:p>
    <w:p>
      <w:pPr>
        <w:spacing w:after="0" w:line="225" w:lineRule="exact"/>
        <w:rPr>
          <w:sz w:val="20"/>
          <w:szCs w:val="20"/>
          <w:color w:val="auto"/>
        </w:rPr>
      </w:pPr>
    </w:p>
    <w:p>
      <w:pPr>
        <w:jc w:val="both"/>
        <w:ind w:left="1300" w:firstLine="653"/>
        <w:spacing w:after="0" w:line="261" w:lineRule="auto"/>
        <w:tabs>
          <w:tab w:leader="none" w:pos="250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Sections 7.1(c)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7.4(c)</w:t>
      </w:r>
      <w:r>
        <w:rPr>
          <w:rFonts w:ascii="Times New Roman" w:cs="Times New Roman" w:eastAsia="Times New Roman" w:hAnsi="Times New Roman"/>
          <w:sz w:val="18"/>
          <w:szCs w:val="18"/>
          <w:color w:val="auto"/>
        </w:rPr>
        <w:t>, the administration of this Agreement and the other Transaction Documents and the transactions contemplated thereby, including all expenses and accountants, consultants, and attorneys’ fees incurred in connection with the administration and maintenance of this Agreement and the other Transaction Documents and the transactions contemplated thereby; and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69"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or on behalf of Agent, each Liquidity Provider, each Enhancement Provider, each LOC Issuer, each Purchaser, each Purchaser Agent each other Secured Party and their respective Affiliates in connection with the enforcement of, or any actual or claimed breach of, this Agreement or any of the other Transaction Documents, including accountants’, auditors’, consultants’ and attorneys’ fees and expenses (which for the avoidance of doubt shall not be limited to a single counsel but shall be limited to a single counsel for each Purchaser Group (and if necessary, one local counsel in each applicable jurisdiction and regulatory counsel)) to any of such Persons and the fees and charges of any nationally recognized statistical rating agency or any independent accountants, auditors, consultants or other agents incurred in connection with any of the foregoing or in advising such Persons as to their respective rights and remedies under any of the Transaction Documents in connection with any of the foregoing;</w:t>
      </w:r>
    </w:p>
    <w:p>
      <w:pPr>
        <w:spacing w:after="0" w:line="18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2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stamp and other similar taxes and fees payable or determined to be payable in connection with the execution, delivery, filing and recording of this Agreement or the other Transaction Documents;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37"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expenses incurred by each LOC Issuer (including any related confirming bank) and its Purchaser Agent in connection with each Letter of Credit issued by it or the maintenance thereof, including but not limited to its customary drawing, amendment, transfer and other applicable fees and its reasonable attorneys’ fees and court costs and any costs associated with any Cash Collateral Account. If an LOC Issuer or its Purchaser Agent is enjoined or restrained from payment of any Letter of Credit or from other action related to such Letter of Credit, Seller also promises to pay reasonable attorney’s fees and court costs related to such injunction or restraint.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13.7 </w:t>
      </w: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Seller, MPI, Servicer, each Committed Purchaser, each Purchaser Agent, each LOC Issuer and BTMUNY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and as Agent) (and Conduit Purchaser, with respect to proceedings against Seller), each hereby agrees that it will not institute against any Conduit Purchaser or Seller, or join any other Person in instituting against any Conduit Purchaser or Seller, any proceeding of the type referred to in the definition of Event of Bankruptcy from the Closing Date until one year plus one day following the last day on which all Commercial Paper Notes and other publicly or privately placed indebtedness for borrowed money (including with respect to the Seller, all obligations hereunder and under the other Transaction Documents) of such Conduit Purchaser or Seller shall have been indefeasibly</w:t>
      </w:r>
    </w:p>
    <w:p>
      <w:pPr>
        <w:spacing w:after="0" w:line="200" w:lineRule="exact"/>
        <w:rPr>
          <w:sz w:val="20"/>
          <w:szCs w:val="20"/>
          <w:color w:val="auto"/>
        </w:rPr>
      </w:pPr>
    </w:p>
    <w:p>
      <w:pPr>
        <w:spacing w:after="0" w:line="37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501" w:name="page502"/>
    <w:bookmarkEnd w:id="50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Agent, with the prior consent of each Purchaser Agent, may institute or join any other Person in instituting any such proceeding against Seller. The foregoing shall not limit any such Person’s right to file any claim in or otherwise take any action with respect to any insolvency proceeding that was instituted by any Person other than such parties.</w:t>
      </w:r>
    </w:p>
    <w:p>
      <w:pPr>
        <w:spacing w:after="0" w:line="17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SECTION 13.8</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20" w:firstLine="645"/>
        <w:spacing w:after="0" w:line="282" w:lineRule="auto"/>
        <w:tabs>
          <w:tab w:leader="none" w:pos="181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 BTMUNY, each LOC Issuer and each Purchaser regards the structure of the transactions contemplated by this Agreement to be proprietary and confidential, and each such party severally agrees that:</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52" w:lineRule="auto"/>
        <w:tabs>
          <w:tab w:leader="none" w:pos="2350"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disclose without the prior consent of Agent (other than to the directors, officers, employees, auditors, counsel or affiliates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of such party, each of whom shall be informed by such party of the confidential nature of the Program Information (as defined below) and of the terms of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(1) any information regarding the pricing in, or copies of, this Agreement, any other Transaction Document or any transaction contemplated hereby or thereby, (2) any information regarding the organization, business or operations of any Purchaser (including LOC Issuer) generally or the services performed by Agent for any Purchaser, or (3) any information which is furnished by Agent to such party and which is designated by Agent to such party in writing or otherwise as confidential or not otherwise available to the general public (the information referred to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is collectively referred to as the “</w:t>
      </w:r>
      <w:r>
        <w:rPr>
          <w:rFonts w:ascii="Times New Roman" w:cs="Times New Roman" w:eastAsia="Times New Roman" w:hAnsi="Times New Roman"/>
          <w:sz w:val="18"/>
          <w:szCs w:val="18"/>
          <w:u w:val="single" w:color="auto"/>
          <w:color w:val="auto"/>
        </w:rPr>
        <w:t>Program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may disclose any such Program Information: (A) to any other party to this Agreement (and any independent attorneys, consultants and auditors of any such party so long as they are informed that such information is confidential and are under an obligation or duty to keep such information confidential) for the purposes contemplated hereby, (B) as may be requested or required by any Governmental Authority having or claiming to have jurisdiction over such party, (x) in order to comply with any Law applicable to such party or (y) subject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in the event such party is legally compelled (by interrogatories, requests for information or copies, subpoena, civil investigative demand or similar process) to disclose any such Program Information or (C) to any permitted assignee of such party’s rights and obligations hereunder to the extent they agree to be bound by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56"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any Person to which it discloses such information, will use the Program Information solely for the purposes of evaluating, administering, performing and enforcing the transactions contemplated by this Agreement and making any necessary business judgments with respect thereto; and</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12"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and any Person to which it discloses such information, will, upon demand, return (and cause each of its representatives to return) to Agent or destroy, all documents or other written material received from Agent, as the case may be, pursuant to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subsection (i)</w:t>
      </w:r>
      <w:r>
        <w:rPr>
          <w:rFonts w:ascii="Times New Roman" w:cs="Times New Roman" w:eastAsia="Times New Roman" w:hAnsi="Times New Roman"/>
          <w:sz w:val="18"/>
          <w:szCs w:val="18"/>
          <w:color w:val="auto"/>
        </w:rPr>
        <w:t xml:space="preserve"> above and all copies thereof made by such party which contain all Program Information.</w:t>
      </w:r>
    </w:p>
    <w:p>
      <w:pPr>
        <w:spacing w:after="0" w:line="200" w:lineRule="exact"/>
        <w:rPr>
          <w:sz w:val="20"/>
          <w:szCs w:val="20"/>
          <w:color w:val="auto"/>
        </w:rPr>
      </w:pPr>
    </w:p>
    <w:p>
      <w:pPr>
        <w:spacing w:after="0" w:line="365"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502" w:name="page503"/>
    <w:bookmarkEnd w:id="502"/>
    <w:p>
      <w:pPr>
        <w:jc w:val="both"/>
        <w:ind w:left="4" w:firstLine="645"/>
        <w:spacing w:after="0" w:line="266" w:lineRule="auto"/>
        <w:tabs>
          <w:tab w:leader="none" w:pos="1055"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 of Confidential Information</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shall be inoperative as to such portions of the Program Information which are or become generally available to the public or such party on a nonconfidential basis from a source other than Agent or were known to such party on a nonconfidential basis prior to its disclosure by Agent.</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254" w:lineRule="auto"/>
        <w:tabs>
          <w:tab w:leader="none" w:pos="1059"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Compulsion to Disclose</w:t>
      </w:r>
      <w:r>
        <w:rPr>
          <w:rFonts w:ascii="Times New Roman" w:cs="Times New Roman" w:eastAsia="Times New Roman" w:hAnsi="Times New Roman"/>
          <w:sz w:val="18"/>
          <w:szCs w:val="18"/>
          <w:color w:val="auto"/>
        </w:rPr>
        <w:t xml:space="preserve">. In the event that any party or anyone to whom such party or its representatives transmits the Program Information is requested or becomes legally compelled (by interrogatories, requests for information or documents, subpoena, civil investigative demand or similar process) to disclose any of the Program Information, such party shall, to the extent legally permissible, provide Agent with prompt written notice so that Agent may (for itself and on behalf of the Purchasers), so long as no Event of Default has occurred, seek a protective order or other appropriate remedy and/or if it so chooses, agree that such party may disclose such Program Information pursuant to such request or legal compulsion. In the event that such protective order or other remedy is not obtained, or Agent (for itself and on behalf of the Purchasers) waives compliance with the provisions of this </w:t>
      </w:r>
      <w:r>
        <w:rPr>
          <w:rFonts w:ascii="Times New Roman" w:cs="Times New Roman" w:eastAsia="Times New Roman" w:hAnsi="Times New Roman"/>
          <w:sz w:val="18"/>
          <w:szCs w:val="18"/>
          <w:u w:val="single" w:color="auto"/>
          <w:color w:val="auto"/>
        </w:rPr>
        <w:t>Section 13.8(c)</w:t>
      </w:r>
      <w:r>
        <w:rPr>
          <w:rFonts w:ascii="Times New Roman" w:cs="Times New Roman" w:eastAsia="Times New Roman" w:hAnsi="Times New Roman"/>
          <w:sz w:val="18"/>
          <w:szCs w:val="18"/>
          <w:color w:val="auto"/>
        </w:rPr>
        <w:t>, such party will furnish only that portion of the Program Information which (in such party’s good faith judgment) is legally required to be furnished and will exercise commercially reasonable efforts to obtain reliable assurance that confidential treatment will be accorded the Program Information.</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58" w:lineRule="auto"/>
        <w:tabs>
          <w:tab w:leader="none" w:pos="1069"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It is the intention of the parties hereto that solely for U.S. federal, state and local income and franchise tax purposes, each Funded Purchase will be treated as a loan from the Purchasers to Seller secured by the Collateral (it being understood that all payments representing Yield, fees and other amounts accrued under this Agreement or the other Transaction Documents shall be deemed to constitute interest payments), and that the purchase of the Asset Interest will be treated as creating indebtedness for U.S. federal, state and local income and franchise tax purposes.</w:t>
      </w:r>
    </w:p>
    <w:p>
      <w:pPr>
        <w:spacing w:after="0" w:line="183" w:lineRule="exact"/>
        <w:rPr>
          <w:rFonts w:ascii="Times New Roman" w:cs="Times New Roman" w:eastAsia="Times New Roman" w:hAnsi="Times New Roman"/>
          <w:sz w:val="18"/>
          <w:szCs w:val="18"/>
          <w:color w:val="auto"/>
        </w:rPr>
      </w:pPr>
    </w:p>
    <w:p>
      <w:pPr>
        <w:jc w:val="both"/>
        <w:ind w:left="4" w:firstLine="645"/>
        <w:spacing w:after="0" w:line="254" w:lineRule="auto"/>
        <w:tabs>
          <w:tab w:leader="none" w:pos="1113"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Agent and Purchasers</w:t>
      </w:r>
      <w:r>
        <w:rPr>
          <w:rFonts w:ascii="Times New Roman" w:cs="Times New Roman" w:eastAsia="Times New Roman" w:hAnsi="Times New Roman"/>
          <w:sz w:val="18"/>
          <w:szCs w:val="18"/>
          <w:color w:val="auto"/>
        </w:rPr>
        <w:t>. Each of Agent, each LOC Issuer, each Purchaser, each Purchaser Agent and each other Secured Party hereby agrees that it will not disclose the contents of this Agreement or any other Transaction Document or any other proprietary or confidential information of or with respect to MPI, Seller, Servicer, Performance Guarantor, Originator or any Obligor received by it in connection with the transactions contemplated hereby to any other Person except (a) its directors, employees, Affiliates, auditors, consultants or counsel and any nationally recognized statistical rating organization, (b) in the case of a Conduit Purchaser, (i) its Liquidity Providers and its Enhancement Providers,</w:t>
      </w:r>
    </w:p>
    <w:p>
      <w:pPr>
        <w:spacing w:after="0" w:line="3"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nationally recognized statistical rating organization rating the Commercial Paper Notes and (iii) any nationally recognized statistical rating organization as contemplated in Section 17g-5 of the 1934 Act, (c) any permitted participant or assignee of Agent or any Purchaser or (d) as otherwise requested or required by applicable Law or order issued by any administrative, governmental, regulatory, judicial or stock exchange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any LOC Issuer, any Purchaser, any Purchaser Agent and any other Secured Party shall not disclose any such proprietary or confidential information to any Liquidity Provider or any Enhancement Provider unless each such Person is informed of the confidential nature of</w:t>
      </w:r>
    </w:p>
    <w:p>
      <w:pPr>
        <w:spacing w:after="0" w:line="200" w:lineRule="exact"/>
        <w:rPr>
          <w:sz w:val="20"/>
          <w:szCs w:val="20"/>
          <w:color w:val="auto"/>
        </w:rPr>
      </w:pPr>
    </w:p>
    <w:p>
      <w:pPr>
        <w:spacing w:after="0" w:line="379" w:lineRule="exact"/>
        <w:rPr>
          <w:sz w:val="20"/>
          <w:szCs w:val="20"/>
          <w:color w:val="auto"/>
        </w:rPr>
      </w:pPr>
    </w:p>
    <w:p>
      <w:pPr>
        <w:ind w:left="5024"/>
        <w:spacing w:after="0"/>
        <w:tabs>
          <w:tab w:leader="none" w:pos="9863"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004"/>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764"/>
          </w:cols>
          <w:pgMar w:left="896" w:top="364" w:right="239" w:bottom="1440" w:gutter="0" w:footer="0" w:header="0"/>
        </w:sectPr>
      </w:pPr>
    </w:p>
    <w:bookmarkStart w:id="503" w:name="page504"/>
    <w:bookmarkEnd w:id="503"/>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such information and agrees for the benefit of the parties hereto that such information shall be held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Agent, any LOC Issuer, any Purchaser, any Purchaser Agent and any other Secured Party may disclose this Agreement, any other Transaction Document and the performance of the Receivables to any nationally recognized statistical rating organization but shall not disclose any such other proprietary or confidential information (any such information, “</w:t>
      </w:r>
      <w:r>
        <w:rPr>
          <w:rFonts w:ascii="Times New Roman" w:cs="Times New Roman" w:eastAsia="Times New Roman" w:hAnsi="Times New Roman"/>
          <w:sz w:val="18"/>
          <w:szCs w:val="18"/>
          <w:u w:val="single" w:color="auto"/>
          <w:color w:val="auto"/>
        </w:rPr>
        <w:t>Other Proprietary Information</w:t>
      </w:r>
      <w:r>
        <w:rPr>
          <w:rFonts w:ascii="Times New Roman" w:cs="Times New Roman" w:eastAsia="Times New Roman" w:hAnsi="Times New Roman"/>
          <w:sz w:val="18"/>
          <w:szCs w:val="18"/>
          <w:color w:val="auto"/>
        </w:rPr>
        <w:t xml:space="preserve">”) to any such Person unless such Person has agreed to hold such information confidential or such Person is otherwise required by Law to hold such information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after the Closing Date there is a change in Law, the effect of which is that nationally recognized statistical rating organizations are not required by Law to establish, maintain and enforce written policies and procedures designed to prevent the inappropriate dissemination within and outside such Person of material nonpublic information obtained in connection with the performance of credit rating services and are not otherwise required by Law or otherwise to maintain the confidentiality of any proprietary or confidential information of or with respect to MPI, Seller, Servicer, Performance Guarantor, Originator or any Obligor received by such Person in connection with the transactions contemplated hereby (any such change in Law, a “</w:t>
      </w:r>
      <w:r>
        <w:rPr>
          <w:rFonts w:ascii="Times New Roman" w:cs="Times New Roman" w:eastAsia="Times New Roman" w:hAnsi="Times New Roman"/>
          <w:sz w:val="18"/>
          <w:szCs w:val="18"/>
          <w:u w:val="single" w:color="auto"/>
          <w:color w:val="auto"/>
        </w:rPr>
        <w:t>Confidential Change in Law</w:t>
      </w:r>
      <w:r>
        <w:rPr>
          <w:rFonts w:ascii="Times New Roman" w:cs="Times New Roman" w:eastAsia="Times New Roman" w:hAnsi="Times New Roman"/>
          <w:sz w:val="18"/>
          <w:szCs w:val="18"/>
          <w:color w:val="auto"/>
        </w:rPr>
        <w:t>”), then upon actual knowledge of the officer of Agent that is primarily responsible for administering Agent’s responsibilities under the Transaction Documents of such Confidential Change in Law, Agent shall take commercially reasonable efforts to notify Seller of such Confidential Change in Law prior to disclosing any Other Proprietary Information to any nationally recognized statistical rating organizations.</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13.9 </w:t>
      </w:r>
      <w:r>
        <w:rPr>
          <w:rFonts w:ascii="Times New Roman" w:cs="Times New Roman" w:eastAsia="Times New Roman" w:hAnsi="Times New Roman"/>
          <w:sz w:val="18"/>
          <w:szCs w:val="18"/>
          <w:u w:val="single" w:color="auto"/>
          <w:color w:val="auto"/>
        </w:rPr>
        <w:t>Captions and Cross References</w:t>
      </w:r>
      <w:r>
        <w:rPr>
          <w:rFonts w:ascii="Times New Roman" w:cs="Times New Roman" w:eastAsia="Times New Roman" w:hAnsi="Times New Roman"/>
          <w:sz w:val="18"/>
          <w:szCs w:val="18"/>
          <w:color w:val="auto"/>
        </w:rPr>
        <w:t>. The various captions (including the table of contents) in this Agreement are provided solely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of reference and shall not affect the meaning or interpretation of any provision of this Agreement. Unless otherwise indicated, references in this Agreement to any Section, Appendix, Schedule or Exhibit are to such Section of or Appendix, Schedule or Exhibit to this Agreement, as the case may be, and references in any Section, subsection, or clause to any subsection, clause or subclause are to such subsection, clause or subclause of such Section, subsection or clause.</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13.10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together with the other Transaction Documents, contains a final and complete integration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expressions by the parties hereto with respect to the subject matter hereof and shall constitute the entire understanding among the parties hereto with respect to the subject matter hereof, superseding all prior oral or written understandings.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AGENT OR ANY PURCHASER IN THE POOL</w:t>
      </w:r>
    </w:p>
    <w:p>
      <w:pPr>
        <w:spacing w:after="0" w:line="200" w:lineRule="exact"/>
        <w:rPr>
          <w:sz w:val="20"/>
          <w:szCs w:val="20"/>
          <w:color w:val="auto"/>
        </w:rPr>
      </w:pPr>
    </w:p>
    <w:p>
      <w:pPr>
        <w:spacing w:after="0" w:line="372"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4" w:right="23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color w:val="auto"/>
        </w:rPr>
        <w:t>RECEIVABLES OR RELATED ASSETS IS GOVERNED BY THE LAWS OF A JURISDICTION OTHER THAN THE STATE OF NEW YORK.</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13.12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EACH PARTY HERETO HEREBY EXPRESSLY WAIVES ANY RIGHT TO A TRIAL BY JURY IN ANY ACTION OR PROCEEDING TO ENFORCE OR DEFEND ANY RIGHTS UNDER THIS AGREEMENT, ANY OTHER TRANSACTION DOCUMENT OR UNDER ANY AMENDMENT, INSTRUMENT OR DOCUMENT DELIVERED OR WHICH MAY IN THE FUTURE BE DELIVERED IN CONNECTION HEREWITH OR ARISING FROM ANY BANKING OR OTHER RELATIONSHIP EXISTING IN CONNECTION WITH THIS AGREEMENT OR ANY OTHER TRANSACTION DOCUMENT AND AGREES THAT ANY SUCH ACTION OR PROCEEDING SHALL BE TRIED BEFORE A COURT AND NOT A JURY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SECTION 13.13</w:t>
      </w:r>
      <w:r>
        <w:rPr>
          <w:sz w:val="20"/>
          <w:szCs w:val="20"/>
          <w:color w:val="auto"/>
        </w:rPr>
        <w:tab/>
      </w:r>
      <w:r>
        <w:rPr>
          <w:rFonts w:ascii="Times New Roman" w:cs="Times New Roman" w:eastAsia="Times New Roman" w:hAnsi="Times New Roman"/>
          <w:sz w:val="18"/>
          <w:szCs w:val="18"/>
          <w:u w:val="single" w:color="auto"/>
          <w:color w:val="auto"/>
        </w:rPr>
        <w:t>Consent to Jurisdiction; Waiver of Immunities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b w:val="1"/>
          <w:bCs w:val="1"/>
          <w:color w:val="auto"/>
        </w:rPr>
        <w:t>EACH PARTY HERETO HEREBY ACKNOWLEDGES AND AGREES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THAT:</w:t>
      </w:r>
    </w:p>
    <w:p>
      <w:pPr>
        <w:spacing w:after="0" w:line="203" w:lineRule="exact"/>
        <w:rPr>
          <w:sz w:val="20"/>
          <w:szCs w:val="20"/>
          <w:color w:val="auto"/>
        </w:rPr>
      </w:pPr>
    </w:p>
    <w:p>
      <w:pPr>
        <w:jc w:val="both"/>
        <w:ind w:left="660" w:firstLine="645"/>
        <w:spacing w:after="0" w:line="256" w:lineRule="auto"/>
        <w:tabs>
          <w:tab w:leader="none" w:pos="171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 IRREVOCABLY (i) SUBMITS TO THE JURISDICTION, FIRST, OF ANY UNITED STATES FEDERAL COURT, AND SECOND, IF FEDERAL JURISDICTION IS NOT AVAILABLE, OF ANY NEW YORK STATE COURT, IN EITHER CASE SITTING IN NEW YORK CITY, NEW YORK IN ANY ACTION OR PROCEEDING ARISING OUT OF OR RELATING TO THIS AGREEMENT AND ANY OTHER TRANSACTION DOCUMENT, (ii) AGREES THAT ALL CLAIMS IN RESPECT OF SUCH ACTION OR PROCEEDING MAY BE HEARD AND DETERMINED ONLY IN SUCH NEW YORK STATE OR FEDERAL COURT AND NOT IN ANY OTHER COURT, AND (iii) WAIVES, TO THE FULLEST EXTENT IT MAY EFFECTIVELY DO SO, THE DEFENSE OF AN INCONVENIENT FORUM TO THE MAINTENANCE OF SUCH ACTION OR PROCEEDING.</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1712"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13.14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the different parties 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200" w:lineRule="exact"/>
        <w:rPr>
          <w:sz w:val="20"/>
          <w:szCs w:val="20"/>
          <w:color w:val="auto"/>
        </w:rPr>
      </w:pPr>
    </w:p>
    <w:p>
      <w:pPr>
        <w:spacing w:after="0" w:line="369"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0" w:right="239" w:bottom="1440" w:gutter="0" w:footer="0" w:header="0"/>
        </w:sectPr>
      </w:pPr>
    </w:p>
    <w:bookmarkStart w:id="505" w:name="page506"/>
    <w:bookmarkEnd w:id="50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13.15 </w:t>
      </w:r>
      <w:r>
        <w:rPr>
          <w:rFonts w:ascii="Times New Roman" w:cs="Times New Roman" w:eastAsia="Times New Roman" w:hAnsi="Times New Roman"/>
          <w:sz w:val="18"/>
          <w:szCs w:val="18"/>
          <w:u w:val="single" w:color="auto"/>
          <w:color w:val="auto"/>
        </w:rPr>
        <w:t>No Recourse Against Other Parties</w:t>
      </w:r>
      <w:r>
        <w:rPr>
          <w:rFonts w:ascii="Times New Roman" w:cs="Times New Roman" w:eastAsia="Times New Roman" w:hAnsi="Times New Roman"/>
          <w:sz w:val="18"/>
          <w:szCs w:val="18"/>
          <w:color w:val="auto"/>
        </w:rPr>
        <w:t>. Other than as provided for in the Transaction Documents with respect to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Seller, Servicer, MPI and Originator, no recourse under any obligation, covenant or agreement of any party contained in this Agreement shall be had against any stockholder, employee, officer, director, member, manager, incorporator or organizer of such party.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13.16 </w:t>
      </w:r>
      <w:r>
        <w:rPr>
          <w:rFonts w:ascii="Times New Roman" w:cs="Times New Roman" w:eastAsia="Times New Roman" w:hAnsi="Times New Roman"/>
          <w:sz w:val="18"/>
          <w:szCs w:val="18"/>
          <w:u w:val="single" w:color="auto"/>
          <w:color w:val="auto"/>
        </w:rPr>
        <w:t>Pledge to a Federal Reserve Bank</w:t>
      </w:r>
      <w:r>
        <w:rPr>
          <w:rFonts w:ascii="Times New Roman" w:cs="Times New Roman" w:eastAsia="Times New Roman" w:hAnsi="Times New Roman"/>
          <w:sz w:val="18"/>
          <w:szCs w:val="18"/>
          <w:color w:val="auto"/>
        </w:rPr>
        <w:t>. Notwithstanding anything to the contrary set forth herein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(i)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Committed Purchaser or any assignee or participant thereof or (ii) in the event that a Conduit Purchaser assigns any interest in, to and under the Asset Interest to a related Liquidity Provider or Enhancement Provider, any such Person, may at any time pledge, grant a security interest in or otherwise transfer all or any portion of its interest in the Asset Interest or under this Agreement to secure the obligations of such Person to a Federal Reserve Bank or otherwise to any other federal Governmental Authority or special purpose entity formed or sponsored by any such federal Governmental Authority, in each case without notice to or the consent of Seller or Servicer, but such pledge, grant or transfer shall not relieve any Purchaser from its obligations hereunder.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provisions of this Agreement which are prohibited or unenforceable in any jurisdiction shall,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SECTION 13.18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13.19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This Agreement amends and restates the Prior Agreement effective when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not effect a novation of any of the obligations of the parties to the Prior Agreement, but instead shall be merely a restatement and, when applicable, an amendment of the terms governing such obligations. The parties hereto acknowledge and consent to the amendment or amendment and restatement of any of the other Transaction Documents, as applicable, on the date hereof.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80"/>
        <w:spacing w:after="0"/>
        <w:tabs>
          <w:tab w:leader="none" w:pos="105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0" w:right="239" w:bottom="1440" w:gutter="0" w:footer="0" w:header="0"/>
        </w:sectPr>
      </w:pPr>
    </w:p>
    <w:bookmarkStart w:id="506" w:name="page507"/>
    <w:bookmarkEnd w:id="50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MYLAN PHARMACEUTICALS INC.</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individually and as initial Servicer</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Colleen Ostrowski</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Colleen Ostrowski</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MYLAN SECURITIZATION LLC</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as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Miraglia</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60"/>
        <w:spacing w:after="0"/>
        <w:tabs>
          <w:tab w:leader="none" w:pos="11000" w:val="left"/>
        </w:tabs>
        <w:rPr>
          <w:sz w:val="20"/>
          <w:szCs w:val="20"/>
          <w:color w:val="auto"/>
        </w:rPr>
      </w:pPr>
      <w:r>
        <w:rPr>
          <w:rFonts w:ascii="Times New Roman" w:cs="Times New Roman" w:eastAsia="Times New Roman" w:hAnsi="Times New Roman"/>
          <w:sz w:val="16"/>
          <w:szCs w:val="16"/>
          <w:color w:val="auto"/>
        </w:rPr>
        <w:t>S-1</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20"/>
          </w:cols>
          <w:pgMar w:left="240" w:top="360" w:right="239" w:bottom="1440" w:gutter="0" w:footer="0" w:header="0"/>
        </w:sectPr>
      </w:pPr>
    </w:p>
    <w:bookmarkStart w:id="507" w:name="page508"/>
    <w:bookmarkEnd w:id="507"/>
    <w:p>
      <w:pPr>
        <w:ind w:left="4100"/>
        <w:spacing w:after="0"/>
        <w:rPr>
          <w:sz w:val="20"/>
          <w:szCs w:val="20"/>
          <w:color w:val="auto"/>
        </w:rPr>
      </w:pPr>
      <w:r>
        <w:rPr>
          <w:rFonts w:ascii="Times New Roman" w:cs="Times New Roman" w:eastAsia="Times New Roman" w:hAnsi="Times New Roman"/>
          <w:sz w:val="18"/>
          <w:szCs w:val="18"/>
          <w:b w:val="1"/>
          <w:bCs w:val="1"/>
          <w:color w:val="auto"/>
        </w:rPr>
        <w:t>VICTORY RECEIVABLES CORPORATION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a Conduit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David V. DeAngelis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David V. DeAngelis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BANK OF TOKYO-MITSUBISHI UFJ,</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LTD., NEW YORK BRANCH</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as a Committed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Jaime Sussman</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Jaime Sussman</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BANK OF TOKYO-MITSUBISHI UFJ,</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LTD., NEW YORK BRANCH</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Purchaser Agent for the BTMU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Luna Mills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Luna Mills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BANK OF TOKYO-MITSUBISHI UFJ,</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LTD., NEW YORK BRANCH</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Luna Mills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Luna Mills</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Commitment of Committed Purchaser: $275,000,000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360" w:val="left"/>
        </w:tabs>
        <w:rPr>
          <w:sz w:val="20"/>
          <w:szCs w:val="20"/>
          <w:color w:val="auto"/>
        </w:rPr>
      </w:pPr>
      <w:r>
        <w:rPr>
          <w:rFonts w:ascii="Times New Roman" w:cs="Times New Roman" w:eastAsia="Times New Roman" w:hAnsi="Times New Roman"/>
          <w:sz w:val="16"/>
          <w:szCs w:val="16"/>
          <w:color w:val="auto"/>
        </w:rPr>
        <w:t>S-2</w:t>
      </w:r>
      <w:r>
        <w:rPr>
          <w:sz w:val="20"/>
          <w:szCs w:val="20"/>
          <w:color w:val="auto"/>
        </w:rPr>
        <w:tab/>
      </w:r>
      <w:r>
        <w:rPr>
          <w:rFonts w:ascii="Times New Roman" w:cs="Times New Roman" w:eastAsia="Times New Roman" w:hAnsi="Times New Roman"/>
          <w:sz w:val="14"/>
          <w:szCs w:val="14"/>
          <w:i w:val="1"/>
          <w:iCs w:val="1"/>
          <w:color w:val="auto"/>
        </w:rPr>
        <w:t>Mylan</w:t>
      </w:r>
    </w:p>
    <w:p>
      <w:pPr>
        <w:sectPr>
          <w:pgSz w:w="11900" w:h="16838" w:orient="portrait"/>
          <w:cols w:equalWidth="0" w:num="1">
            <w:col w:w="10200"/>
          </w:cols>
          <w:pgMar w:left="1440" w:top="522" w:right="259" w:bottom="1102" w:gutter="0" w:footer="0" w:header="0"/>
        </w:sectPr>
      </w:pPr>
    </w:p>
    <w:p>
      <w:pPr>
        <w:spacing w:after="0" w:line="12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00"/>
          </w:cols>
          <w:pgMar w:left="1440" w:top="522" w:right="259" w:bottom="1102" w:gutter="0" w:footer="0" w:header="0"/>
          <w:type w:val="continuous"/>
        </w:sectPr>
      </w:pPr>
    </w:p>
    <w:bookmarkStart w:id="508" w:name="page509"/>
    <w:bookmarkEnd w:id="508"/>
    <w:p>
      <w:pPr>
        <w:ind w:left="41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Purchaser Agent for the PNC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Falcione</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Mark Falcione</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a Committed Purchaser and as an LOC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Falcione</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Mark Falcione</w:t>
      </w:r>
    </w:p>
    <w:p>
      <w:pPr>
        <w:spacing w:after="0" w:line="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Commitment of Committed Purchaser: $125,000,000</w:t>
      </w: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LOC Issuance Limit: $80,000,000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506095</wp:posOffset>
            </wp:positionV>
            <wp:extent cx="285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60"/>
        <w:spacing w:after="0"/>
        <w:tabs>
          <w:tab w:leader="none" w:pos="9800" w:val="left"/>
        </w:tabs>
        <w:rPr>
          <w:sz w:val="20"/>
          <w:szCs w:val="20"/>
          <w:color w:val="auto"/>
        </w:rPr>
      </w:pPr>
      <w:r>
        <w:rPr>
          <w:rFonts w:ascii="Times New Roman" w:cs="Times New Roman" w:eastAsia="Times New Roman" w:hAnsi="Times New Roman"/>
          <w:sz w:val="16"/>
          <w:szCs w:val="16"/>
          <w:color w:val="auto"/>
        </w:rPr>
        <w:t>S-3</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0200"/>
          </w:cols>
          <w:pgMar w:left="1440" w:top="522" w:right="2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color w:val="auto"/>
        </w:rPr>
        <w:t>ACKNOWLEDGED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MYLAN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Performance Guarantor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Colleen Ostrowski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Colleen Ostrowski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360" w:val="left"/>
        </w:tabs>
        <w:rPr>
          <w:sz w:val="20"/>
          <w:szCs w:val="20"/>
          <w:color w:val="auto"/>
        </w:rPr>
      </w:pPr>
      <w:r>
        <w:rPr>
          <w:rFonts w:ascii="Times New Roman" w:cs="Times New Roman" w:eastAsia="Times New Roman" w:hAnsi="Times New Roman"/>
          <w:sz w:val="16"/>
          <w:szCs w:val="16"/>
          <w:color w:val="auto"/>
        </w:rPr>
        <w:t>S-4</w:t>
      </w:r>
      <w:r>
        <w:rPr>
          <w:sz w:val="20"/>
          <w:szCs w:val="20"/>
          <w:color w:val="auto"/>
        </w:rPr>
        <w:tab/>
      </w:r>
      <w:r>
        <w:rPr>
          <w:rFonts w:ascii="Times New Roman" w:cs="Times New Roman" w:eastAsia="Times New Roman" w:hAnsi="Times New Roman"/>
          <w:sz w:val="14"/>
          <w:szCs w:val="14"/>
          <w:i w:val="1"/>
          <w:iCs w:val="1"/>
          <w:color w:val="auto"/>
        </w:rPr>
        <w:t>Mylan</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A&amp;R Receivables Purchase Agreement</w:t>
      </w:r>
    </w:p>
    <w:p>
      <w:pPr>
        <w:sectPr>
          <w:pgSz w:w="11900" w:h="16838" w:orient="portrait"/>
          <w:cols w:equalWidth="0" w:num="1">
            <w:col w:w="11400"/>
          </w:cols>
          <w:pgMar w:left="240" w:top="360" w:right="259" w:bottom="1440" w:gutter="0" w:footer="0" w:header="0"/>
        </w:sectPr>
      </w:pPr>
    </w:p>
    <w:bookmarkStart w:id="510" w:name="page511"/>
    <w:bookmarkEnd w:id="5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unless the context requires a different meaning, the following terms have the meanings indicated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Contractual Dilution Estimate</w:t>
      </w:r>
      <w:r>
        <w:rPr>
          <w:rFonts w:ascii="Times New Roman" w:cs="Times New Roman" w:eastAsia="Times New Roman" w:hAnsi="Times New Roman"/>
          <w:sz w:val="18"/>
          <w:szCs w:val="18"/>
          <w:color w:val="auto"/>
        </w:rPr>
        <w:t xml:space="preserve">” means, for any Settlement Period, (i) if a Ratings Event has occurred and is continuing, the Contractual Dilution Estimate for such Settlement Period and (ii) otherwise, an amount equal to the Contractual Dilution Estimate for such Settlement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Direct Check Rebate Estimate,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Failure to Supply Check Payment Estimate, in each case, for such Settlement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Claim</w:t>
      </w:r>
      <w:r>
        <w:rPr>
          <w:rFonts w:ascii="Times New Roman" w:cs="Times New Roman" w:eastAsia="Times New Roman" w:hAnsi="Times New Roman"/>
          <w:sz w:val="18"/>
          <w:szCs w:val="18"/>
          <w:color w:val="auto"/>
        </w:rPr>
        <w:t>” means any claim of ownership or any Lien, other than any ownership interest or Lien created under the Sale Agreement, this Agreement, any other Transaction Document, any Enhancement Agreement or any Liquidity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means each Purchaser, each Purchaser Agent, each Liquidity Provider, each Enhancement Provider, any administrative agent or program agent for any Conduit Purchaser or participant of any Purchaser, any Purchaser Agent, Agent, any Enhancement Provider, any Liquidity Provider, any sub-agent of Agent and any Affiliate of any of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when used with respect to a Person means any other Person controlling, controlled by, or under common control with, such Person. For the purposes of this definition, “control” of a Person means the possession, directly or indirectly, of the power to direct or cause the direction of its management and policies, whether through the ownership of voting securities, by contract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Receivable</w:t>
      </w:r>
      <w:r>
        <w:rPr>
          <w:rFonts w:ascii="Times New Roman" w:cs="Times New Roman" w:eastAsia="Times New Roman" w:hAnsi="Times New Roman"/>
          <w:sz w:val="18"/>
          <w:szCs w:val="18"/>
          <w:color w:val="auto"/>
        </w:rPr>
        <w:t>” means any Pool Receivable the Obligor of which (a) is an Affiliate of Seller, Performance Guarantor, MPI or Originator; (b) Originator or any Affiliate of Originator, controls, directly or indirectly, 10% or more of the Voting Stock of such Person; or (c) is a Person which, together with any Affiliates of such Person, controls, directly or indirectly, 10% of the Voting Stock of Originator or MPI.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 Office</w:t>
      </w:r>
      <w:r>
        <w:rPr>
          <w:rFonts w:ascii="Times New Roman" w:cs="Times New Roman" w:eastAsia="Times New Roman" w:hAnsi="Times New Roman"/>
          <w:sz w:val="18"/>
          <w:szCs w:val="18"/>
          <w:color w:val="auto"/>
        </w:rPr>
        <w:t>” means the office of Agent at 1251 Avenue of the Americas, New York, New York 10020, Attention: Securitization Group, or such other address as shall be designated by Agent in writing to Seller, Servicer and Purchasers.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511" w:name="page512"/>
    <w:bookmarkEnd w:id="511"/>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Amortizing Purchaser</w:t>
      </w:r>
      <w:r>
        <w:rPr>
          <w:rFonts w:ascii="Times New Roman" w:cs="Times New Roman" w:eastAsia="Times New Roman" w:hAnsi="Times New Roman"/>
          <w:sz w:val="18"/>
          <w:szCs w:val="18"/>
          <w:color w:val="auto"/>
        </w:rPr>
        <w:t xml:space="preserve">” means any Exiting Purchaser or any Defaulting Purchaser for which </w:t>
      </w:r>
      <w:r>
        <w:rPr>
          <w:rFonts w:ascii="Times New Roman" w:cs="Times New Roman" w:eastAsia="Times New Roman" w:hAnsi="Times New Roman"/>
          <w:sz w:val="18"/>
          <w:szCs w:val="18"/>
          <w:u w:val="single" w:color="auto"/>
          <w:color w:val="auto"/>
        </w:rPr>
        <w:t>Section 2.6(b)(ii)(A)</w:t>
      </w:r>
      <w:r>
        <w:rPr>
          <w:rFonts w:ascii="Times New Roman" w:cs="Times New Roman" w:eastAsia="Times New Roman" w:hAnsi="Times New Roman"/>
          <w:sz w:val="18"/>
          <w:szCs w:val="18"/>
          <w:color w:val="auto"/>
        </w:rPr>
        <w:t xml:space="preserve"> is in effect, as applicable and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has the meaning set forth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Interest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Rate</w:t>
      </w:r>
      <w:r>
        <w:rPr>
          <w:rFonts w:ascii="Times New Roman" w:cs="Times New Roman" w:eastAsia="Times New Roman" w:hAnsi="Times New Roman"/>
          <w:sz w:val="18"/>
          <w:szCs w:val="18"/>
          <w:color w:val="auto"/>
        </w:rPr>
        <w:t xml:space="preserve">” for any day falling in a particular Yield Period with respect to any Rate Tranche means an interest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LIBO Rate for such Yield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Laws</w:t>
      </w:r>
      <w:r>
        <w:rPr>
          <w:rFonts w:ascii="Times New Roman" w:cs="Times New Roman" w:eastAsia="Times New Roman" w:hAnsi="Times New Roman"/>
          <w:sz w:val="18"/>
          <w:szCs w:val="18"/>
          <w:color w:val="auto"/>
        </w:rPr>
        <w:t>” bankruptcy, insolvency, reorganization, or other similar Laws affecting the enforcement of creditors’ rights generally and by general principles of equity, regardless of whether such enforceability is considered in a proceeding in equity or at Law, including the Bankruptcy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on any date, a fluctuating rate of interest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the highest of:</w:t>
      </w:r>
    </w:p>
    <w:p>
      <w:pPr>
        <w:spacing w:after="0" w:line="225" w:lineRule="exact"/>
        <w:rPr>
          <w:sz w:val="20"/>
          <w:szCs w:val="20"/>
          <w:color w:val="auto"/>
        </w:rPr>
      </w:pPr>
    </w:p>
    <w:p>
      <w:pPr>
        <w:ind w:left="1680" w:hanging="375"/>
        <w:spacing w:after="0"/>
        <w:tabs>
          <w:tab w:leader="none" w:pos="16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interest most recently announced by the applicable Purchaser Agent as its Prime Rate;</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Funds Rate for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and</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LIBO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 Rate is not necessarily intended to be the lowest rate of interest determined by each Purchaser Agent in connection with extensions of credit.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BASEL Accord</w:t>
      </w:r>
      <w:r>
        <w:rPr>
          <w:rFonts w:ascii="Times New Roman" w:cs="Times New Roman" w:eastAsia="Times New Roman" w:hAnsi="Times New Roman"/>
          <w:sz w:val="18"/>
          <w:szCs w:val="18"/>
          <w:color w:val="auto"/>
        </w:rPr>
        <w:t>” means, the second accord adopted by the BASEL Committee on Banking Supervision (as defined below), to the extent and in the manner implemented as an applicable law, guideline or request (or any combination thereof) from any Governmental Authority (whether or not having the force of law), as such accord and any related law, guideline or request may be amended, supplemented, restated or otherwise modified, including, but not limited to, each similar and subsequent accord that may be adopted by the BASEL Committee on Banking Supervision (including, but not limited to, the proposed accord known as BASEL III) and all related laws, guidelines or requests implementing each such accord as may be adopted and amended or supplemented from time to time. As used herein, “</w:t>
      </w:r>
      <w:r>
        <w:rPr>
          <w:rFonts w:ascii="Times New Roman" w:cs="Times New Roman" w:eastAsia="Times New Roman" w:hAnsi="Times New Roman"/>
          <w:sz w:val="18"/>
          <w:szCs w:val="18"/>
          <w:u w:val="single" w:color="auto"/>
          <w:color w:val="auto"/>
        </w:rPr>
        <w:t>BASEL Committee on Banking Supervision</w:t>
      </w:r>
      <w:r>
        <w:rPr>
          <w:rFonts w:ascii="Times New Roman" w:cs="Times New Roman" w:eastAsia="Times New Roman" w:hAnsi="Times New Roman"/>
          <w:sz w:val="18"/>
          <w:szCs w:val="18"/>
          <w:color w:val="auto"/>
        </w:rPr>
        <w:t>” means, the committee created in 1974 by the central bank governors of the Group of Ten nations. For purposes hereof “Group of Ten” shall mean the eleven countries of Belgium, Canada, France, Germany, Switzerland, the United States, Italy, Japan, the Netherlands, Sweden and the United Kingdom, which are commonly referred to as the “Group of Ten” or “G-10”, and any successor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BTMUNY</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512" w:name="page513"/>
    <w:bookmarkEnd w:id="5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 day on which commercial banks in New York City are not authorized or required to be closed for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used with respect to a Yield Rate or associated Rate Tranche based on LIBO Rate, “Business Day” also means any day on which banks are open for domestic and international business (including dealings in Dollar deposits) in London, England.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 Account</w:t>
      </w:r>
      <w:r>
        <w:rPr>
          <w:rFonts w:ascii="Times New Roman" w:cs="Times New Roman" w:eastAsia="Times New Roman" w:hAnsi="Times New Roman"/>
          <w:sz w:val="18"/>
          <w:szCs w:val="18"/>
          <w:color w:val="auto"/>
        </w:rPr>
        <w:t>” means any account established and maintained in the United States by each applicable Purchaser Agent for the benefit of the related LOC Issuer and, if applicable, the Committed Purchasers in the related LOC Group into which deposits from Collections are made in accordance with the terms of this Agreement to cash collateralize outstanding Letters of Credit issued by such LOC Issuer in accordance with the terms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5" w:lineRule="exact"/>
        <w:rPr>
          <w:sz w:val="20"/>
          <w:szCs w:val="20"/>
          <w:color w:val="auto"/>
        </w:rPr>
      </w:pPr>
    </w:p>
    <w:p>
      <w:pPr>
        <w:ind w:left="1680" w:hanging="375"/>
        <w:spacing w:after="0"/>
        <w:tabs>
          <w:tab w:leader="none" w:pos="16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Mylan Inc. Change of Control shall have occurred;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72"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until such time as the Ownership Change Conditions have been satisfied, Originator shall at any time cease to directly own or control 100% of the Voting Stock of Seller, (ii) Mylan Inc. (or following the consummation of the Specified Acquisition Transaction, New Mylan) shall at any time cease to directly or indirectly own or control 100% of the Voting Stock of Seller or any New Owner or (iii) any New Owner has failed to satisfy any of the Ownership Change Conditions as of the applicable Effective Date;</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71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Inc. (or following the consummation of the Specified Acquisition Transaction, New Mylan) shall at any time cease to directly or indirectly own or control 100% of the Voting Stock of the Originator or the Servicer; or</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01"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Specified Acquisition Transaction, New Mylan shall at any time cease to directly or indirectly own or control 100% of the Voting Stock of the Performance Guarantor.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means, with respect to any Pool Receivable, all funds which either (a) are received by Seller, Originator, MPI or Performance Guarantor, Servicer or any Affiliate or agent of any of the foregoing from or on behalf of the related Obligors in payment of any amounts owed (including purchase prices, finance charges, interest and all other charges) in respect of such Pool Receivable, or applied to such other charges in respect of such Pool Receivable, or applied to such amounts owed by such Obligors (including insurance payments that Seller or Servicer applies in the ordinary course of its business to amounts owed in respect of such Pool Receivable and net proceeds of sale or other disposition of repossessed goods or other collateral or property of the Obligor or any other party directly or indirectly liable for payment of such</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4" w:right="239" w:bottom="1440" w:gutter="0" w:footer="0" w:header="0"/>
        </w:sectPr>
      </w:pPr>
    </w:p>
    <w:bookmarkStart w:id="513" w:name="page514"/>
    <w:bookmarkEnd w:id="51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Pool Receivable and available to be applied thereon), or (b) are deemed to have been received by Seller or any other Person as a Collection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(it being understood that Collections shall not refer to any Funded Purchase Price paid by any Purchaser or the amount of any Letters of Credit issued to Seller for such Purchaser’s Purchases of the Pool Receivables and Related Assets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Paper Notes</w:t>
      </w:r>
      <w:r>
        <w:rPr>
          <w:rFonts w:ascii="Times New Roman" w:cs="Times New Roman" w:eastAsia="Times New Roman" w:hAnsi="Times New Roman"/>
          <w:sz w:val="18"/>
          <w:szCs w:val="18"/>
          <w:color w:val="auto"/>
        </w:rPr>
        <w:t>” means short-term promissory notes issued or to be issued by a Conduit Purchaser to fund its investments in accounts receivable or other financial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a Committed Purchaser, the amount set forth below its signature to this Agreement, which amount may be increased from time to time upon prior written request of the Seller and with the written consent of the applicable Committed Purchaser and its related Purchaser Agent in their sole and absolute discretion, and which amount shall automatically be reduced to zero for any Committed Purchaser if such Committed Purchaser becomes an Exiting Purchaser on the then-current Commitment Termination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is defined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means, for any Committed Purchaser, January 26, 2018.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Purchaser</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Purchaser’s Group</w:t>
      </w:r>
      <w:r>
        <w:rPr>
          <w:rFonts w:ascii="Times New Roman" w:cs="Times New Roman" w:eastAsia="Times New Roman" w:hAnsi="Times New Roman"/>
          <w:sz w:val="18"/>
          <w:szCs w:val="18"/>
          <w:color w:val="auto"/>
        </w:rPr>
        <w:t>” means the related Group for each Committed Purchaser.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Purchaser’s Total Investment</w:t>
      </w:r>
      <w:r>
        <w:rPr>
          <w:rFonts w:ascii="Times New Roman" w:cs="Times New Roman" w:eastAsia="Times New Roman" w:hAnsi="Times New Roman"/>
          <w:sz w:val="18"/>
          <w:szCs w:val="18"/>
          <w:color w:val="auto"/>
        </w:rPr>
        <w:t xml:space="preserve">” means at any time with respect to the Asset Interest and a Committed Purchaser, an amount equal to the sum of (a) the aggregate of the amounts theretofore paid to Seller by all Purchasers in such Committed Purchaser’s Group for Funded Purchases (or deemed Funded Purchases) (in cash or as a participation in a LOC Purchase) pursuant to Section 1.1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Collections theretofore received and actually distributed to any Purchasers in such Group, and not reinvested as a Reinvestment, on account of the Investments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not rescinded or otherwise returned or reinvested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(b) the LOC Exposure of such Committed Purchaser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amounts on deposit in the Cash Collateral Account, if any, and allocated to the Committed Purchaser’s LOC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Investment of such Committed Purchaser’s Total Investment, and any fees or Yield payable with respect thereto, will be increased or decreased, as applicable, to give effect to any reallocations of participations in Letters of Credit in accordance with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Concentration Limit</w:t>
      </w:r>
      <w:r>
        <w:rPr>
          <w:rFonts w:ascii="Times New Roman" w:cs="Times New Roman" w:eastAsia="Times New Roman" w:hAnsi="Times New Roman"/>
          <w:sz w:val="18"/>
          <w:szCs w:val="18"/>
          <w:color w:val="auto"/>
        </w:rPr>
        <w:t>” means at any time for any Obligor, the product of (i) such Obligor’s Specified Concentration Percentage and (ii) the aggregate Unpaid Balance of the Eligible Receivables at the time of determination.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Purchaser</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Purchaser’s Group</w:t>
      </w:r>
      <w:r>
        <w:rPr>
          <w:rFonts w:ascii="Times New Roman" w:cs="Times New Roman" w:eastAsia="Times New Roman" w:hAnsi="Times New Roman"/>
          <w:sz w:val="18"/>
          <w:szCs w:val="18"/>
          <w:color w:val="auto"/>
        </w:rPr>
        <w:t>” means the related Group for each Conduit Purchaser.</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4" w:right="239" w:bottom="1440" w:gutter="0" w:footer="0" w:header="0"/>
        </w:sectPr>
      </w:pPr>
    </w:p>
    <w:bookmarkStart w:id="514" w:name="page515"/>
    <w:bookmarkEnd w:id="5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Purchaser’s Purchase Limit</w:t>
      </w:r>
      <w:r>
        <w:rPr>
          <w:rFonts w:ascii="Times New Roman" w:cs="Times New Roman" w:eastAsia="Times New Roman" w:hAnsi="Times New Roman"/>
          <w:sz w:val="18"/>
          <w:szCs w:val="18"/>
          <w:color w:val="auto"/>
        </w:rPr>
        <w:t>” means the Commitment of the related Committed Purchaser in such Conduit Purchaser’s Group.</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Conduit Purchaser’s Total Investment</w:t>
      </w:r>
      <w:r>
        <w:rPr>
          <w:rFonts w:ascii="Times New Roman" w:cs="Times New Roman" w:eastAsia="Times New Roman" w:hAnsi="Times New Roman"/>
          <w:sz w:val="18"/>
          <w:szCs w:val="18"/>
          <w:color w:val="auto"/>
        </w:rPr>
        <w:t xml:space="preserve">” means at any time with respect to the Asset Interest, an amount equal to the aggregate of the amounts theretofore paid to Seller by a Conduit Purchaser for Funded Purchases (or deemed Funded Purchase)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Collections theretofore received and actually distributed to such Conduit Purchaser, and not reinvested as a Reinvestment, on account of such Purchaser’s Investment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not rescinded or otherwise returned or reinvested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Extension Period</w:t>
      </w:r>
      <w:r>
        <w:rPr>
          <w:rFonts w:ascii="Times New Roman" w:cs="Times New Roman" w:eastAsia="Times New Roman" w:hAnsi="Times New Roman"/>
          <w:sz w:val="18"/>
          <w:szCs w:val="18"/>
          <w:color w:val="auto"/>
        </w:rPr>
        <w:t>” is defined in the definition of “Default Ratio”.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Parties</w:t>
      </w:r>
      <w:r>
        <w:rPr>
          <w:rFonts w:ascii="Times New Roman" w:cs="Times New Roman" w:eastAsia="Times New Roman" w:hAnsi="Times New Roman"/>
          <w:sz w:val="18"/>
          <w:szCs w:val="18"/>
          <w:color w:val="auto"/>
        </w:rPr>
        <w:t>” is defined in the definition of “Default Ratio”.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 contract (including any purchase order or invoice) originally between Originator and any Obligor pursuant to or under which such Obligor becomes or is obligated to make payments to Originator with respect to the sale of goods or the furnishing of related services from time to time and, for purposes of this Agreement only, which has been sold or contributed to Seller pursuant to the Sale Agreement. A “related” Contract with respect to a Pool Receivable means a Contract under which such Pool Receivable arises or which is relevant to the collection or enforcement of such Receivable.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Dilution</w:t>
      </w:r>
      <w:r>
        <w:rPr>
          <w:rFonts w:ascii="Times New Roman" w:cs="Times New Roman" w:eastAsia="Times New Roman" w:hAnsi="Times New Roman"/>
          <w:sz w:val="18"/>
          <w:szCs w:val="18"/>
          <w:color w:val="auto"/>
        </w:rPr>
        <w:t>” means, with respect to any Settlement Period, the aggregate dilution or similar adjustments which were actually made or otherwise incurred by the Servicer or Originator with respect to the Pool Receivables during such Settlement Period arising out of chargebacks, terms discounts, indirect rebates, direct rebates (net of any direct rebate recovery), penalty payments or other amounts owing as a result of any failure to deliver any goods or furnish any services and key promotional programs under the related Contract, marketing program related to the applicable Receivable or Obligor thereof or otherwise, as determined by the Servicer in accordance with its customary practices.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Dilution Estimate</w:t>
      </w:r>
      <w:r>
        <w:rPr>
          <w:rFonts w:ascii="Times New Roman" w:cs="Times New Roman" w:eastAsia="Times New Roman" w:hAnsi="Times New Roman"/>
          <w:sz w:val="18"/>
          <w:szCs w:val="18"/>
          <w:color w:val="auto"/>
        </w:rPr>
        <w:t xml:space="preserve">” means, for any Settlement Period, the aggregate amount of dilution or similar adjustments arising out of chargebacks, terms discounts, indirect rebates, direct rebates (net of any direct rebate recovery), penalty payments or other amounts owing as a result of any failure to deliver any goods or furnish any services and key promotional programs which are customary for Originator and specified in the related Contract or applicable marketing program related to the applicable Receivable and Obligor thereof that are expected by the Servicer to be made or otherwise incurred with respect to the then outstanding Pool Receivables as such expected dilution and similar adjustments are reflected on the books and records of the Servicer and reserved for by the Servicer, as determined in consultation with the external accountants of the Servicer and in accordance with the customary procedures established by the Servicer and such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estimate with respect to penalty payments for any Settlement Period that does not end on a fiscal quarter end of the Servicer shall equal an amount equal to the sum of (i) the aggregate amount reserved for by the Servicer for such penalty payments as of its prior fiscal quarter end,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equal to the average amount of penalty payments included in the “Contractual Dilution Estimate” for the twelve Settlement Periods preceding such prior fiscal quarter end,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aggregate amount of</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4" w:right="2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color w:val="auto"/>
        </w:rPr>
        <w:t>such penalty payments actually made by or on behalf of the Servicer since its prior fiscal quarter end.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means a controlled group of corporations or a group of trades or businesses (whether or not incorporated) under common control that is treated as a single employer under Section 414(b) or 414(c) of the Code or Section 4001(a)(14) of ERISA.</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 Rate</w:t>
      </w:r>
      <w:r>
        <w:rPr>
          <w:rFonts w:ascii="Times New Roman" w:cs="Times New Roman" w:eastAsia="Times New Roman" w:hAnsi="Times New Roman"/>
          <w:sz w:val="18"/>
          <w:szCs w:val="18"/>
          <w:color w:val="auto"/>
        </w:rPr>
        <w:t xml:space="preserve">” means, for any period and with respect to any Rate Tranche funded by Commercial Paper Notes, the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rate equivalent to the weighted average cost (as determined by the applicable Purchaser Agent and which shall include commissions and fees of placement agents and dealers, incremental carrying costs incurred with respect to Commercial Paper Notes maturing on dates other than those on which corresponding funds are received by a Conduit Purchaser, other borrowings by such Conduit Purchaser (other than under any Liquidity Agreement) and any other costs and expenses associated with the issuance of Commercial Paper Notes) of or related to the issuance of Commercial Paper Notes that are allocated, in whole or in part, by such Conduit Purchaser or Agent to fund or maintain such Rate Tranche (and which may be also allocated in part to the funding of other assets of such Conduit Purchaser (determined in the case of Commercial Paper Notes issued on a discount by converting the discount to an interest equivalent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in this Agreement or the other Transaction Documents to the contrary, Seller agrees that any amounts payable to such Conduit Purchaser in respect of Yield for any Yield Period with respect to any Rate Tranche funded by such Conduit Purchaser at the CP Rate shall include an amount equal to the portion of the face amount of the outstanding Commercial Paper Notes issued to fund or maintain such Rate Tranche that corresponds to the portion of the proceeds of such Commercial Paper Notes that was used to pay the interest component of maturing Commercial Paper Notes issued to fund or maintain such Rate Tranche, to the extent that such Conduit Purchaser had not received payments of interest in respect of such interest component prior to the maturity date of such maturing Commercial Paper Notes (for purposes of the foregoing, the “interest component” of Commercial Paper Notes equals the excess of the face amount thereof over the net proceeds received by such Conduit Purchaser from the issuance of Commercial Paper Notes, except that if such Commercial Paper Notes are issued on an interest-bearing basis its “interest component” will equal the amount of interest accruing on such Notes through maturity).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each of, (i) that certain Revolving Credit Agreement, dated as of December 19, 2014, among Mylan Inc., as the borrower, Bank of America, N.A., as administrative agent and the other parties from time to time party thereto, and (ii) that certain Term Credit Agreement, dated as of December 19, 2014, among Mylan Inc., as the borrower, Bank of America, N.A., as administrative agent and the other parties from time to time party thereto, in each case, as the same may be amended, restated, supplemented or otherwise modified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Default</w:t>
      </w:r>
      <w:r>
        <w:rPr>
          <w:rFonts w:ascii="Times New Roman" w:cs="Times New Roman" w:eastAsia="Times New Roman" w:hAnsi="Times New Roman"/>
          <w:sz w:val="18"/>
          <w:szCs w:val="18"/>
          <w:color w:val="auto"/>
        </w:rPr>
        <w:t>” means, at any time, a “Default” (or any replacement term) as such term is defined in any Credit Agreement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and Collection Policy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Credit and Collection Policies</w:t>
      </w:r>
      <w:r>
        <w:rPr>
          <w:rFonts w:ascii="Times New Roman" w:cs="Times New Roman" w:eastAsia="Times New Roman" w:hAnsi="Times New Roman"/>
          <w:sz w:val="18"/>
          <w:szCs w:val="18"/>
          <w:color w:val="auto"/>
        </w:rPr>
        <w:t xml:space="preserve">” means with respect to any Pool Receivable, Servicer’s credit and collection policies and practices, as applicable, relating to Contracts and Receivables, each as described in </w:t>
      </w:r>
      <w:r>
        <w:rPr>
          <w:rFonts w:ascii="Times New Roman" w:cs="Times New Roman" w:eastAsia="Times New Roman" w:hAnsi="Times New Roman"/>
          <w:sz w:val="18"/>
          <w:szCs w:val="18"/>
          <w:u w:val="single" w:color="auto"/>
          <w:color w:val="auto"/>
        </w:rPr>
        <w:t>Schedule 6.2(m)</w:t>
      </w:r>
      <w:r>
        <w:rPr>
          <w:rFonts w:ascii="Times New Roman" w:cs="Times New Roman" w:eastAsia="Times New Roman" w:hAnsi="Times New Roman"/>
          <w:sz w:val="18"/>
          <w:szCs w:val="18"/>
          <w:color w:val="auto"/>
        </w:rPr>
        <w:t>, as such may be</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color w:val="auto"/>
        </w:rPr>
        <w:t>amended, restated, supplemented or otherwise modified in accordance with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Cut-Off Date</w:t>
      </w:r>
      <w:r>
        <w:rPr>
          <w:rFonts w:ascii="Times New Roman" w:cs="Times New Roman" w:eastAsia="Times New Roman" w:hAnsi="Times New Roman"/>
          <w:sz w:val="18"/>
          <w:szCs w:val="18"/>
          <w:color w:val="auto"/>
        </w:rPr>
        <w:t>” means the last day of each Settlement Period.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at any date (without duplication) all of the following: (a) all obligations and Securities of, or issued by, such Person for borrowed money; (b) all obligations and Securities of, or issued by, such Person evidenced by bonds, debentures, notes or other similar instruments; (c) all obligations and Securities of, or issued by, such Person to pay the deferred purchase price of property or services, except trade accounts payable under normal, commercially reasonable trade terms and which arise in the ordinary course of business; (d) all obligations and Securities of, or issued by, such Person as lessee under capitalized leases; (e) all Derivatives Obligations of such Person; (f) all Off-Balance Sheet Debt of such Person and (g) all Debt as defined in the preceding clauses of this definition of, or issued by, other Persons Guarantied by, or secured by any of the revenues or assets of, such Person.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Collections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Ratio</w:t>
      </w:r>
      <w:r>
        <w:rPr>
          <w:rFonts w:ascii="Times New Roman" w:cs="Times New Roman" w:eastAsia="Times New Roman" w:hAnsi="Times New Roman"/>
          <w:sz w:val="18"/>
          <w:szCs w:val="18"/>
          <w:color w:val="auto"/>
        </w:rPr>
        <w:t xml:space="preserve">” means, for any Settlement Period, a fraction (expressed as a percentage), (a) the numerator of which is the aggregate Unpaid Balance of all Defaulted Receivables that first became Defaulted Receivables in such Settlement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(without duplication) any Losses (net of recoveries) incurred in such Settlement Period, and (b) the denominator of which is the aggregate initial Unpaid Balance of all Receivables originated during the Settlement Period six months prior to such Settlement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computation of one-month Default Ratio for each Settlement Period, beginning with the December 2014 Settlement Period through the February 2015 Settlement Period (or such later Settlement Period as consented to in writing by each of the Purchasers, the Purchaser Agents, the Agent and the LOC Issuer (collectively, the “</w:t>
      </w:r>
      <w:r>
        <w:rPr>
          <w:rFonts w:ascii="Times New Roman" w:cs="Times New Roman" w:eastAsia="Times New Roman" w:hAnsi="Times New Roman"/>
          <w:sz w:val="18"/>
          <w:szCs w:val="18"/>
          <w:u w:val="single" w:color="auto"/>
          <w:color w:val="auto"/>
        </w:rPr>
        <w:t>Consenting Parties</w:t>
      </w:r>
      <w:r>
        <w:rPr>
          <w:rFonts w:ascii="Times New Roman" w:cs="Times New Roman" w:eastAsia="Times New Roman" w:hAnsi="Times New Roman"/>
          <w:sz w:val="18"/>
          <w:szCs w:val="18"/>
          <w:color w:val="auto"/>
        </w:rPr>
        <w:t>”) in substantially the form of Exhibit 10.1-A hereto, such consent to be granted or withheld in their sole and absolute discretion) (such period, the “</w:t>
      </w:r>
      <w:r>
        <w:rPr>
          <w:rFonts w:ascii="Times New Roman" w:cs="Times New Roman" w:eastAsia="Times New Roman" w:hAnsi="Times New Roman"/>
          <w:sz w:val="18"/>
          <w:szCs w:val="18"/>
          <w:u w:val="single" w:color="auto"/>
          <w:color w:val="auto"/>
        </w:rPr>
        <w:t>Consent Extension Period</w:t>
      </w:r>
      <w:r>
        <w:rPr>
          <w:rFonts w:ascii="Times New Roman" w:cs="Times New Roman" w:eastAsia="Times New Roman" w:hAnsi="Times New Roman"/>
          <w:sz w:val="18"/>
          <w:szCs w:val="18"/>
          <w:color w:val="auto"/>
        </w:rPr>
        <w:t xml:space="preserve">”), as reported in each of the Information Packages delivered on or after the date hereof, shall exclude from such computation any Subject Receivables that are Defaulted Receivables solely with respect to determining compliance with </w:t>
      </w:r>
      <w:r>
        <w:rPr>
          <w:rFonts w:ascii="Times New Roman" w:cs="Times New Roman" w:eastAsia="Times New Roman" w:hAnsi="Times New Roman"/>
          <w:sz w:val="18"/>
          <w:szCs w:val="18"/>
          <w:u w:val="single" w:color="auto"/>
          <w:color w:val="auto"/>
        </w:rPr>
        <w:t>Section 10.1(f)</w:t>
      </w:r>
      <w:r>
        <w:rPr>
          <w:rFonts w:ascii="Times New Roman" w:cs="Times New Roman" w:eastAsia="Times New Roman" w:hAnsi="Times New Roman"/>
          <w:sz w:val="18"/>
          <w:szCs w:val="18"/>
          <w:color w:val="auto"/>
        </w:rPr>
        <w:t xml:space="preserve"> of this Agreement.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Amount</w:t>
      </w:r>
      <w:r>
        <w:rPr>
          <w:rFonts w:ascii="Times New Roman" w:cs="Times New Roman" w:eastAsia="Times New Roman" w:hAnsi="Times New Roman"/>
          <w:sz w:val="18"/>
          <w:szCs w:val="18"/>
          <w:color w:val="auto"/>
        </w:rPr>
        <w:t xml:space="preserve">” means, with respect to any Committed Purchaser at any time, any amount required to be paid by such Committed Purchaser to Agent, any Purchaser Agent any LOC Issuer or any other Committed Purchaser hereunder or under any other Transaction Document at or prior to such time that has not been so paid as of such time, including any amount required to be paid by such Committed Purchaser to an LOC Issuer to fund such Committed Purchaser’s LOC Participation Obligations to such LOC Issuer or to any Agent or any LOC Issuer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to reimburse Agent, any Purchaser Agent or such LOC Issuer for such Committed Purchaser’s ratable share of any amount required to be paid by such Committed Purchaser to Agent, any Purchaser Agent or such LOC Issuer as provided therein.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Receivable</w:t>
      </w:r>
      <w:r>
        <w:rPr>
          <w:rFonts w:ascii="Times New Roman" w:cs="Times New Roman" w:eastAsia="Times New Roman" w:hAnsi="Times New Roman"/>
          <w:sz w:val="18"/>
          <w:szCs w:val="18"/>
          <w:color w:val="auto"/>
        </w:rPr>
        <w:t>” means a Pool Receivable: (a) as to which any payment, or part thereof, remains unpaid for 91 or more days from the original due date for such payment with respect to such Pool Receivable, (b) as to which the Obligor thereof is subject to an Event of Bankruptcy that has occurred and is continuing or (c) which, consistent with the Credit and</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4" w:right="239" w:bottom="1440" w:gutter="0" w:footer="0" w:header="0"/>
        </w:sectPr>
      </w:pPr>
    </w:p>
    <w:bookmarkStart w:id="517" w:name="page518"/>
    <w:bookmarkEnd w:id="5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Collection Policy, has been, or should have been, written-off as uncollectible;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once a Pool Receivable has been written-off as uncollectible it shall no longer be a Defaulted Receivable.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Purchaser</w:t>
      </w:r>
      <w:r>
        <w:rPr>
          <w:rFonts w:ascii="Times New Roman" w:cs="Times New Roman" w:eastAsia="Times New Roman" w:hAnsi="Times New Roman"/>
          <w:sz w:val="18"/>
          <w:szCs w:val="18"/>
          <w:color w:val="auto"/>
        </w:rPr>
        <w:t>” means any Committed Purchaser that has (a) failed to fund any portion of its Purchases or LOC Participation Obligations within two Business Days of the date required to be funded by it hereunder, (b) otherwise failed to pay over to the Agent, any Purchaser Agent or any other Purchaser any other amount required to be paid by it hereunder within two Business Days of the date when due, or (c) it or its parent company shall be deemed insolvent or take any action or be the subject of any Event of Bankruptcy or similar proceeding.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Delinquency Extension Period</w:t>
      </w:r>
      <w:r>
        <w:rPr>
          <w:rFonts w:ascii="Times New Roman" w:cs="Times New Roman" w:eastAsia="Times New Roman" w:hAnsi="Times New Roman"/>
          <w:sz w:val="18"/>
          <w:szCs w:val="18"/>
          <w:color w:val="auto"/>
        </w:rPr>
        <w:t>” is defined in the definition of “Delinquency Ratio”.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Delinquency Ratio</w:t>
      </w:r>
      <w:r>
        <w:rPr>
          <w:rFonts w:ascii="Times New Roman" w:cs="Times New Roman" w:eastAsia="Times New Roman" w:hAnsi="Times New Roman"/>
          <w:sz w:val="18"/>
          <w:szCs w:val="18"/>
          <w:color w:val="auto"/>
        </w:rPr>
        <w:t xml:space="preserve">” means, for any Settlement Period, a fraction (expressed as a percentage), (a) the numerator of which is the aggregate Unpaid Balance of all Delinquent Receivables that first became Delinquent Receivables in such Settlement Period, and (b) the denominator of which is the aggregate Unpaid Balance of all Receivables as of the end of the most recent Settlement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computation of one-month Delinquency Ratio for each Settlement Period, beginning with the December 2014 Settlement Period through the February 2015 Settlement Period (or such later Settlement Period as consented to in writing by each of the Consenting Parties in substantially the form of </w:t>
      </w:r>
      <w:r>
        <w:rPr>
          <w:rFonts w:ascii="Times New Roman" w:cs="Times New Roman" w:eastAsia="Times New Roman" w:hAnsi="Times New Roman"/>
          <w:sz w:val="18"/>
          <w:szCs w:val="18"/>
          <w:u w:val="single" w:color="auto"/>
          <w:color w:val="auto"/>
        </w:rPr>
        <w:t>Exhibit 10.1-A</w:t>
      </w:r>
      <w:r>
        <w:rPr>
          <w:rFonts w:ascii="Times New Roman" w:cs="Times New Roman" w:eastAsia="Times New Roman" w:hAnsi="Times New Roman"/>
          <w:sz w:val="18"/>
          <w:szCs w:val="18"/>
          <w:color w:val="auto"/>
        </w:rPr>
        <w:t xml:space="preserve"> hereto, such consent to be granted or withheld in their sole and absolute discretion) (such period, the “</w:t>
      </w:r>
      <w:r>
        <w:rPr>
          <w:rFonts w:ascii="Times New Roman" w:cs="Times New Roman" w:eastAsia="Times New Roman" w:hAnsi="Times New Roman"/>
          <w:sz w:val="18"/>
          <w:szCs w:val="18"/>
          <w:u w:val="single" w:color="auto"/>
          <w:color w:val="auto"/>
        </w:rPr>
        <w:t>Delinquency Extension Period</w:t>
      </w:r>
      <w:r>
        <w:rPr>
          <w:rFonts w:ascii="Times New Roman" w:cs="Times New Roman" w:eastAsia="Times New Roman" w:hAnsi="Times New Roman"/>
          <w:sz w:val="18"/>
          <w:szCs w:val="18"/>
          <w:color w:val="auto"/>
        </w:rPr>
        <w:t>”; together with the Consent Extension Period, each, an “</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 xml:space="preserve">”), as reported in each of the Information Packages delivered on or after the date hereof, shall exclude from such computation any Subject Receivables that are Delinquent Receivables solely with respect to determining compliance with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this Agreement.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Delinquent Receivable</w:t>
      </w:r>
      <w:r>
        <w:rPr>
          <w:rFonts w:ascii="Times New Roman" w:cs="Times New Roman" w:eastAsia="Times New Roman" w:hAnsi="Times New Roman"/>
          <w:sz w:val="18"/>
          <w:szCs w:val="18"/>
          <w:color w:val="auto"/>
        </w:rPr>
        <w:t>” means a Pool Receivable: (a) as to which any payment, or part thereof, remains unpaid for between 61 or more days from the original due date for such payment with respect to such Pool Receivable and (b) is not a Defaulted Receivable.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Derivatives Obligations</w:t>
      </w:r>
      <w:r>
        <w:rPr>
          <w:rFonts w:ascii="Times New Roman" w:cs="Times New Roman" w:eastAsia="Times New Roman" w:hAnsi="Times New Roman"/>
          <w:sz w:val="18"/>
          <w:szCs w:val="18"/>
          <w:color w:val="auto"/>
        </w:rPr>
        <w:t>” of any Person means all net payment obligations of such Person, as of any date of determination, in respect of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Diluted Receivable</w:t>
      </w:r>
      <w:r>
        <w:rPr>
          <w:rFonts w:ascii="Times New Roman" w:cs="Times New Roman" w:eastAsia="Times New Roman" w:hAnsi="Times New Roman"/>
          <w:sz w:val="18"/>
          <w:szCs w:val="18"/>
          <w:color w:val="auto"/>
        </w:rPr>
        <w:t>” means a Pool Receivable the entire or partial Unpaid Balance of which is reduced or cancelled due to Dilution.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w:t>
      </w:r>
      <w:r>
        <w:rPr>
          <w:rFonts w:ascii="Times New Roman" w:cs="Times New Roman" w:eastAsia="Times New Roman" w:hAnsi="Times New Roman"/>
          <w:sz w:val="18"/>
          <w:szCs w:val="18"/>
          <w:color w:val="auto"/>
        </w:rPr>
        <w:t>” means the amount (other than any amount of Contractual Dilution) by which the Unpaid Balance of a Diluted Receivable is reduced or cancelled (i) due to returns, defect, refunds, allowances, cash discounts, rebates, rejections, set off, netting, deficit, failure to perform on the part of the Originator, adjustment or any other similar reason other than with respect to the</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518" w:name="page519"/>
    <w:bookmarkEnd w:id="518"/>
    <w:p>
      <w:pPr>
        <w:jc w:val="both"/>
        <w:spacing w:after="0" w:line="282" w:lineRule="auto"/>
        <w:rPr>
          <w:sz w:val="20"/>
          <w:szCs w:val="20"/>
          <w:color w:val="auto"/>
        </w:rPr>
      </w:pPr>
      <w:r>
        <w:rPr>
          <w:rFonts w:ascii="Times New Roman" w:cs="Times New Roman" w:eastAsia="Times New Roman" w:hAnsi="Times New Roman"/>
          <w:sz w:val="18"/>
          <w:szCs w:val="18"/>
          <w:color w:val="auto"/>
        </w:rPr>
        <w:t>credit worthiness of the related Obligor, or (ii) due to a breach of title or failure of such Pool Receivable to be an Eligible Receivable at the time of a Purchase or Reinvestment.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Adjustment Amount</w:t>
      </w:r>
      <w:r>
        <w:rPr>
          <w:rFonts w:ascii="Times New Roman" w:cs="Times New Roman" w:eastAsia="Times New Roman" w:hAnsi="Times New Roman"/>
          <w:sz w:val="18"/>
          <w:szCs w:val="18"/>
          <w:color w:val="auto"/>
        </w:rPr>
        <w:t xml:space="preserve">” means, for any Settlement Period an amount equal to the positive excess, if any, of (a) the aggregate Contractual Dilution in such Settlement Period and the prior Settlement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Adjusted Contractual Dilution Estimate as of the end of the Settlement Period occurring two months prior.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Horizon Ratio</w:t>
      </w:r>
      <w:r>
        <w:rPr>
          <w:rFonts w:ascii="Times New Roman" w:cs="Times New Roman" w:eastAsia="Times New Roman" w:hAnsi="Times New Roman"/>
          <w:sz w:val="18"/>
          <w:szCs w:val="18"/>
          <w:color w:val="auto"/>
        </w:rPr>
        <w:t xml:space="preserve">” means, for each day during a Settlement Period, a fraction (expressed as a percentage), (a) the numerator of which is the sum of (i) the aggregate portion of the Unpaid Balance of all Receivables that was subject to Dilution during each of the two (2) preceding Settlement Periods,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product of (A) 0.50%,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aggregate portion of the Unpaid Balance of all Receivables that was subject to Dilution during the third (3rd) preceding Settlement Period and (b) the denominator of which is the Net Pool Balance as of the Cut-Off Date of such current Settlement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definition of Dilution Horizon Ratio may be increased on an annual basis upon written notice to the Servicer and Agent by any Purchaser Agent to reasonably reflect the results of any agreed upon procedures report or other annual audit.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Ratio</w:t>
      </w:r>
      <w:r>
        <w:rPr>
          <w:rFonts w:ascii="Times New Roman" w:cs="Times New Roman" w:eastAsia="Times New Roman" w:hAnsi="Times New Roman"/>
          <w:sz w:val="18"/>
          <w:szCs w:val="18"/>
          <w:color w:val="auto"/>
        </w:rPr>
        <w:t>” means, for any Settlement Period, a fraction (expressed as a percentage), (a) the numerator of which is the aggregate portion of the Unpaid Balance of a Pool Receivable that was subject to Dilution during such Settlement Period and, solely when used with respect to the calculation of the Dilution Reserve Floor Percentage and the Dynamic Dilution Reserve Percentage, plus the Dilution Adjustment Amount for such Settlement Period, and (b) the denominator of which is the aggregate initial Unpaid Balance of all Receivables which were originated during the Settlement Period three (3) months prior to such Settlement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Reserve Floor Percentage</w:t>
      </w:r>
      <w:r>
        <w:rPr>
          <w:rFonts w:ascii="Times New Roman" w:cs="Times New Roman" w:eastAsia="Times New Roman" w:hAnsi="Times New Roman"/>
          <w:sz w:val="18"/>
          <w:szCs w:val="18"/>
          <w:color w:val="auto"/>
        </w:rPr>
        <w:t>” means, on any day, a percentage determined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DR x DHR</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DR</w:t>
            </w: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average of the Dilution Ratios for the preceding twelve Settlement Periods;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DHR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Dilution Horizon Ratio on such day.</w:t>
            </w: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Dilution Volatility Ratio</w:t>
      </w:r>
      <w:r>
        <w:rPr>
          <w:rFonts w:ascii="Times New Roman" w:cs="Times New Roman" w:eastAsia="Times New Roman" w:hAnsi="Times New Roman"/>
          <w:sz w:val="18"/>
          <w:szCs w:val="18"/>
          <w:color w:val="auto"/>
        </w:rPr>
        <w:t>” means, on any day, a percentage determined as follows:</w:t>
      </w:r>
    </w:p>
    <w:p>
      <w:pPr>
        <w:spacing w:after="0" w:line="11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180" w:type="dxa"/>
            <w:vAlign w:val="bottom"/>
          </w:tcPr>
          <w:p>
            <w:pPr>
              <w:jc w:val="right"/>
              <w:ind w:right="4850"/>
              <w:spacing w:after="0"/>
              <w:rPr>
                <w:sz w:val="20"/>
                <w:szCs w:val="20"/>
                <w:color w:val="auto"/>
              </w:rPr>
            </w:pPr>
            <w:r>
              <w:rPr>
                <w:rFonts w:ascii="Times New Roman" w:cs="Times New Roman" w:eastAsia="Times New Roman" w:hAnsi="Times New Roman"/>
                <w:sz w:val="18"/>
                <w:szCs w:val="18"/>
                <w:color w:val="auto"/>
              </w:rPr>
              <w:t>(DS-DR) x (DS/DR)</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34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326"/>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DS</w:t>
            </w:r>
          </w:p>
        </w:tc>
        <w:tc>
          <w:tcPr>
            <w:tcW w:w="14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highest averaged Dilution Ratio for any three (3) consecutive Settlement Periods observed over the preceding 12</w:t>
            </w:r>
          </w:p>
        </w:tc>
      </w:t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180" w:type="dxa"/>
            <w:vAlign w:val="bottom"/>
          </w:tcPr>
          <w:p>
            <w:pPr>
              <w:jc w:val="right"/>
              <w:ind w:right="6990"/>
              <w:spacing w:after="0"/>
              <w:rPr>
                <w:sz w:val="20"/>
                <w:szCs w:val="20"/>
                <w:color w:val="auto"/>
              </w:rPr>
            </w:pPr>
            <w:r>
              <w:rPr>
                <w:rFonts w:ascii="Times New Roman" w:cs="Times New Roman" w:eastAsia="Times New Roman" w:hAnsi="Times New Roman"/>
                <w:sz w:val="18"/>
                <w:szCs w:val="18"/>
                <w:color w:val="auto"/>
              </w:rPr>
              <w:t>Settlement Periods; and</w:t>
            </w:r>
          </w:p>
        </w:tc>
      </w:tr>
      <w:tr>
        <w:trPr>
          <w:trHeight w:val="56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80" w:type="dxa"/>
            <w:vAlign w:val="bottom"/>
          </w:tcPr>
          <w:p>
            <w:pPr>
              <w:jc w:val="right"/>
              <w:ind w:right="699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420"/>
          </w:cols>
          <w:pgMar w:left="240" w:top="364" w:right="239" w:bottom="1440" w:gutter="0" w:footer="0" w:header="0"/>
        </w:sectPr>
      </w:pPr>
    </w:p>
    <w:bookmarkStart w:id="519" w:name="page520"/>
    <w:bookmarkEnd w:id="519"/>
    <w:p>
      <w:pPr>
        <w:ind w:left="1300"/>
        <w:spacing w:after="0"/>
        <w:tabs>
          <w:tab w:leader="none" w:pos="1940" w:val="left"/>
          <w:tab w:leader="none" w:pos="2220" w:val="left"/>
        </w:tabs>
        <w:rPr>
          <w:sz w:val="20"/>
          <w:szCs w:val="20"/>
          <w:color w:val="auto"/>
        </w:rPr>
      </w:pPr>
      <w:r>
        <w:rPr>
          <w:rFonts w:ascii="Times New Roman" w:cs="Times New Roman" w:eastAsia="Times New Roman" w:hAnsi="Times New Roman"/>
          <w:sz w:val="18"/>
          <w:szCs w:val="18"/>
          <w:color w:val="auto"/>
        </w:rPr>
        <w:t>DR</w:t>
      </w:r>
      <w:r>
        <w:rPr>
          <w:sz w:val="20"/>
          <w:szCs w:val="20"/>
          <w:color w:val="auto"/>
        </w:rPr>
        <w:tab/>
      </w:r>
      <w:r>
        <w:rPr>
          <w:rFonts w:ascii="Times New Roman" w:cs="Times New Roman" w:eastAsia="Times New Roman" w:hAnsi="Times New Roman"/>
          <w:sz w:val="18"/>
          <w:szCs w:val="18"/>
          <w:color w:val="auto"/>
        </w:rPr>
        <w:t>=</w:t>
        <w:tab/>
        <w:t>the average of the Dilution Ratios for the preceding twelve Settlement Periods.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Check Rebate Estimate</w:t>
      </w:r>
      <w:r>
        <w:rPr>
          <w:rFonts w:ascii="Times New Roman" w:cs="Times New Roman" w:eastAsia="Times New Roman" w:hAnsi="Times New Roman"/>
          <w:sz w:val="18"/>
          <w:szCs w:val="18"/>
          <w:color w:val="auto"/>
        </w:rPr>
        <w:t>” means, for any Settlement Period, the aggregate amount of dilution or similar adjustments arising out of rebates owing as a result of satisfying certain conditions, including an Obligor purchasing certain quantities of goods or services, as specified in the related Contract and that are expected by the Servicer to be made or otherwise incurred with respect to the then outstanding Pool Receivables solely by the issuance of a check or payment by wire transfer, automated clearing house or other electronic or immediately available payment method by Originator to the related Obligor and not by the issuance of a credit memo and for which (unless otherwise consented to in writing by the Agent and each Purchaser) the related Contract does not permit any such adjustment other than by the issuance of a check or payment by wire transfer, automated clearing house or other electronic or immediately available payment method, as such expected dilution and similar adjustments are reflected on the books and records of the Servicer and reserved for by the Servicer, as determined in consultation with the external accountants of the Servicer and in accordance with the customary procedures established by the Servicer and such accountants.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and proceedings disclosed (i) in any reports, schedules, forms, proxy statements, prospectuses (including prospectus supplements), registration statements and other information filed by Performance Guarantor (or following the consummation of the Specified Acquisition Transaction, New Mylan) with the SEC or furnished by Performance Guarantor to the SEC pursuant to the Securities Exchange Act, in each case, that are publicly available on the SEC’s website pursuant to the EDGAR system or (ii) in </w:t>
      </w:r>
      <w:r>
        <w:rPr>
          <w:rFonts w:ascii="Times New Roman" w:cs="Times New Roman" w:eastAsia="Times New Roman" w:hAnsi="Times New Roman"/>
          <w:sz w:val="18"/>
          <w:szCs w:val="18"/>
          <w:u w:val="single" w:color="auto"/>
          <w:color w:val="auto"/>
        </w:rPr>
        <w:t>Schedule 6.1(f)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DSO</w:t>
      </w:r>
      <w:r>
        <w:rPr>
          <w:rFonts w:ascii="Times New Roman" w:cs="Times New Roman" w:eastAsia="Times New Roman" w:hAnsi="Times New Roman"/>
          <w:sz w:val="18"/>
          <w:szCs w:val="18"/>
          <w:color w:val="auto"/>
        </w:rPr>
        <w:t xml:space="preserve">” means, an amount equal to the aggregate amount of all unpaid Receivables as of the last day of the most recent Settlement Period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aggregate amount of all Receivables generated by Originator in the most recent Settlement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30.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Dynamic Dilution Reserve Percentage</w:t>
      </w:r>
      <w:r>
        <w:rPr>
          <w:rFonts w:ascii="Times New Roman" w:cs="Times New Roman" w:eastAsia="Times New Roman" w:hAnsi="Times New Roman"/>
          <w:sz w:val="18"/>
          <w:szCs w:val="18"/>
          <w:color w:val="auto"/>
        </w:rPr>
        <w:t>” means, on any day, a percentage determined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9"/>
              </w:rPr>
              <w:t>{(SF x DR) + DVR} x DHR</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4860" w:type="dxa"/>
            <w:vAlign w:val="bottom"/>
          </w:tcPr>
          <w:p>
            <w:pPr>
              <w:spacing w:after="0"/>
              <w:rPr>
                <w:sz w:val="24"/>
                <w:szCs w:val="24"/>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SF</w:t>
            </w:r>
          </w:p>
        </w:tc>
        <w:tc>
          <w:tcPr>
            <w:tcW w:w="140" w:type="dxa"/>
            <w:vAlign w:val="bottom"/>
          </w:tcPr>
          <w:p>
            <w:pPr>
              <w:spacing w:after="0"/>
              <w:rPr>
                <w:sz w:val="24"/>
                <w:szCs w:val="24"/>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average of the Dilution Ratios for the preceding twelve</w:t>
            </w:r>
          </w:p>
        </w:tc>
      </w:tr>
      <w:tr>
        <w:trPr>
          <w:trHeight w:val="324"/>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Settlement Periods;</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DVR</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Dilution Volatility Ratio on such day;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DHR</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Dilution Horizon Ratio on such day.</w:t>
            </w:r>
          </w:p>
        </w:tc>
      </w:tr>
      <w:tr>
        <w:trPr>
          <w:trHeight w:val="567"/>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420"/>
          </w:cols>
          <w:pgMar w:left="240" w:top="364" w:right="239" w:bottom="1440" w:gutter="0" w:footer="0" w:header="0"/>
        </w:sectPr>
      </w:pPr>
    </w:p>
    <w:bookmarkStart w:id="520" w:name="page521"/>
    <w:bookmarkEnd w:id="5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Dynamic Loss Reserve Percentage</w:t>
      </w:r>
      <w:r>
        <w:rPr>
          <w:rFonts w:ascii="Times New Roman" w:cs="Times New Roman" w:eastAsia="Times New Roman" w:hAnsi="Times New Roman"/>
          <w:sz w:val="18"/>
          <w:szCs w:val="18"/>
          <w:color w:val="auto"/>
        </w:rPr>
        <w:t>” means, on any day, a percentage determined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SF x LR x LHR</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480" w:type="dxa"/>
            <w:vAlign w:val="bottom"/>
          </w:tcPr>
          <w:p>
            <w:pPr>
              <w:spacing w:after="0"/>
              <w:rPr>
                <w:sz w:val="24"/>
                <w:szCs w:val="24"/>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SF</w:t>
            </w:r>
          </w:p>
        </w:tc>
        <w:tc>
          <w:tcPr>
            <w:tcW w:w="140" w:type="dxa"/>
            <w:vAlign w:val="bottom"/>
          </w:tcPr>
          <w:p>
            <w:pPr>
              <w:spacing w:after="0"/>
              <w:rPr>
                <w:sz w:val="24"/>
                <w:szCs w:val="24"/>
                <w:color w:val="auto"/>
              </w:rPr>
            </w:pP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2.0</w:t>
            </w: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LR</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highest averaged Default Ratio for any three (3) consecutive Settlement Periods observed over the preceding 12 Settlement</w:t>
            </w:r>
          </w:p>
        </w:tc>
      </w:t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Periods;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LHR</w:t>
            </w:r>
          </w:p>
        </w:tc>
        <w:tc>
          <w:tcPr>
            <w:tcW w:w="9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Loss Horizon Ratio on such day.</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definition of “Ownership Change Conditions”.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Contract</w:t>
      </w:r>
      <w:r>
        <w:rPr>
          <w:rFonts w:ascii="Times New Roman" w:cs="Times New Roman" w:eastAsia="Times New Roman" w:hAnsi="Times New Roman"/>
          <w:sz w:val="18"/>
          <w:szCs w:val="18"/>
          <w:color w:val="auto"/>
        </w:rPr>
        <w:t>” means a Contract governed by the law of the United States of America or of any State thereof that contains an obligation to pay a specified sum of money and that has been duly authorized by each party thereto and which (i) does not require the Obligor thereunder to consent to any transfer, sale or assignment thereof or of the related Receivable or any proceeds thereof (other than to the extent that such requirements would be rendered unenforceable by Article 9 of the applicable UCC), (ii) is not subject to a confidentiality provision or similar covenant of non-disclosure that would restrict the ability of Agent or any Purchaser to fully exercise or enforce its rights under the Transaction Documents (including any rights thereunder assigned or originated to them hereunder), (iii) is not “chattel paper” as defined in the UCC of any jurisdiction governing the perfection or assignment of the related Receivable, and (iv) has not been modified, extended or rewritten in any manner that would adversely affect any Purchaser’s or Agent’s interest in, or the enforceability of, the Pool Receivable originated thereunder (except for extensions and modifications expressly permitted 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w:t>
      </w:r>
      <w:r>
        <w:rPr>
          <w:rFonts w:ascii="Times New Roman" w:cs="Times New Roman" w:eastAsia="Times New Roman" w:hAnsi="Times New Roman"/>
          <w:sz w:val="18"/>
          <w:szCs w:val="18"/>
          <w:color w:val="auto"/>
        </w:rPr>
        <w:t>” means, at any time, a Receivable:</w:t>
      </w:r>
    </w:p>
    <w:p>
      <w:pPr>
        <w:spacing w:after="0" w:line="225" w:lineRule="exact"/>
        <w:rPr>
          <w:sz w:val="20"/>
          <w:szCs w:val="20"/>
          <w:color w:val="auto"/>
        </w:rPr>
      </w:pPr>
    </w:p>
    <w:p>
      <w:pPr>
        <w:jc w:val="both"/>
        <w:ind w:left="660" w:firstLine="645"/>
        <w:spacing w:after="0" w:line="255" w:lineRule="auto"/>
        <w:tabs>
          <w:tab w:leader="none" w:pos="179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which represents all or part of the sales price of goods or services (all of which have been delivered or performed), sold by Originator and billed to the related Obligor in the ordinary course of Originator’s business and sold or contributed to Seller pursuant to the Sale Agreement, (ii) with respect to which all obligations of Originator in connection with which have been fully performed, (iii) no portion of which is in respect of any amount as to which the related Obligor is permitted to withhold payment until the occurrence of a specified event or condition (including “guaranteed” or “conditional” sales or any performance by Originator), (iv) which is not owed to Originator or Seller as a bailee or consignee for another Person, (v) which is not issued under cash-in-advance or cash-on-account terms and (vi) with payment terms of not more than one hundred twenty (120) days from the original billing date;</w:t>
      </w:r>
    </w:p>
    <w:p>
      <w:pPr>
        <w:spacing w:after="0" w:line="189"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constitutes an “account” or a “payment intangible,” each as defined in Section 9-102 of the UCC;</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521" w:name="page522"/>
    <w:bookmarkEnd w:id="521"/>
    <w:p>
      <w:pPr>
        <w:ind w:left="-540" w:firstLine="645"/>
        <w:spacing w:after="0" w:line="282" w:lineRule="auto"/>
        <w:tabs>
          <w:tab w:leader="none" w:pos="60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Purchase or Reinvestment not more than 25% of the total Receivables owed by an Obligor with respect to such Receivables are Defaulted Receivables at the time of Purchase or Reinvestment;</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542"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not at the time of Purchase or Reinvestment (i) a Defaulted Receivable or (ii) without duplication, the portion of a Diluted Receivable that is subject to Dilution;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portion that is included in the Unmatched Deductions at such time that constitutes Unmatched Deductions Unaccrued shall not be deducted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so long as no Ratings Event has occurred and is continuing;</w:t>
      </w:r>
    </w:p>
    <w:p>
      <w:pPr>
        <w:spacing w:after="0" w:line="180" w:lineRule="exact"/>
        <w:rPr>
          <w:rFonts w:ascii="Times New Roman" w:cs="Times New Roman" w:eastAsia="Times New Roman" w:hAnsi="Times New Roman"/>
          <w:sz w:val="18"/>
          <w:szCs w:val="18"/>
          <w:color w:val="auto"/>
        </w:rPr>
      </w:pPr>
    </w:p>
    <w:p>
      <w:pPr>
        <w:ind w:left="480" w:hanging="375"/>
        <w:spacing w:after="0"/>
        <w:tabs>
          <w:tab w:leader="none" w:pos="48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regard to which the warranties of Seller in </w:t>
      </w:r>
      <w:r>
        <w:rPr>
          <w:rFonts w:ascii="Times New Roman" w:cs="Times New Roman" w:eastAsia="Times New Roman" w:hAnsi="Times New Roman"/>
          <w:sz w:val="18"/>
          <w:szCs w:val="18"/>
          <w:u w:val="single" w:color="auto"/>
          <w:color w:val="auto"/>
        </w:rPr>
        <w:t>Section 6.1(k)</w:t>
      </w:r>
      <w:r>
        <w:rPr>
          <w:rFonts w:ascii="Times New Roman" w:cs="Times New Roman" w:eastAsia="Times New Roman" w:hAnsi="Times New Roman"/>
          <w:sz w:val="18"/>
          <w:szCs w:val="18"/>
          <w:color w:val="auto"/>
        </w:rPr>
        <w:t xml:space="preserve"> are true and correct;</w:t>
      </w:r>
    </w:p>
    <w:p>
      <w:pPr>
        <w:spacing w:after="0" w:line="225" w:lineRule="exact"/>
        <w:rPr>
          <w:rFonts w:ascii="Times New Roman" w:cs="Times New Roman" w:eastAsia="Times New Roman" w:hAnsi="Times New Roman"/>
          <w:sz w:val="18"/>
          <w:szCs w:val="18"/>
          <w:color w:val="auto"/>
        </w:rPr>
      </w:pPr>
    </w:p>
    <w:p>
      <w:pPr>
        <w:ind w:left="-540" w:firstLine="645"/>
        <w:spacing w:after="0" w:line="282" w:lineRule="auto"/>
        <w:tabs>
          <w:tab w:leader="none" w:pos="50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contribution of which, pursuant to the Sale Agreement, and the transfer of which, under this Agreement, does not violate, contravene or conflict with any Law or any contractual or other restriction, limitation or encumbrance;</w:t>
      </w:r>
    </w:p>
    <w:p>
      <w:pPr>
        <w:spacing w:after="0" w:line="161" w:lineRule="exact"/>
        <w:rPr>
          <w:rFonts w:ascii="Times New Roman" w:cs="Times New Roman" w:eastAsia="Times New Roman" w:hAnsi="Times New Roman"/>
          <w:sz w:val="18"/>
          <w:szCs w:val="18"/>
          <w:color w:val="auto"/>
        </w:rPr>
      </w:pPr>
    </w:p>
    <w:p>
      <w:pPr>
        <w:ind w:left="-540" w:firstLine="645"/>
        <w:spacing w:after="0" w:line="282" w:lineRule="auto"/>
        <w:tabs>
          <w:tab w:leader="none" w:pos="50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denominated and payable only in U.S. Dollars in the United States to an account at Lock-Box Bank (or a lock–box swept into such account, if applicable) that is subject to a Lock-Box Agreement;</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561"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arises under an Eligible Contract that, together with such Receivable, (i) is in full force and effect and constitutes the legal, valid and binding obligation of the Obligor to pay such Receivable enforceable against such Obligor in accordance with its terms, (ii) is not subject to any dispute, offset, netting, litigation, counterclaim or defense whatsoever (including defenses arising out of violations of usury Laws) (other than potential discharge in a bankruptcy of the related Obligor and anticipated amounts of reductions to such Receivables reflected in the then current Adjusted Contractual Dilution Estimate) and (iii) is not subject to any Adverse Claim;</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51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together with the Contract related thereto, does not contravene any Law applicable thereto (including Laws relating to usury, consumer protection, truth in lending, fair credit billing, fair credit reporting, equal credit opportunity, fair debt collection practices and privacy) in any respect which could, individually or in the aggregate, have a material adverse effect on the value, validity, collectability or enforceability of the related Receivable;</w:t>
      </w:r>
    </w:p>
    <w:p>
      <w:pPr>
        <w:spacing w:after="0" w:line="180" w:lineRule="exact"/>
        <w:rPr>
          <w:rFonts w:ascii="Times New Roman" w:cs="Times New Roman" w:eastAsia="Times New Roman" w:hAnsi="Times New Roman"/>
          <w:sz w:val="18"/>
          <w:szCs w:val="18"/>
          <w:color w:val="auto"/>
        </w:rPr>
      </w:pPr>
    </w:p>
    <w:p>
      <w:pPr>
        <w:ind w:left="-540" w:firstLine="645"/>
        <w:spacing w:after="0" w:line="282" w:lineRule="auto"/>
        <w:tabs>
          <w:tab w:leader="none" w:pos="56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was originated by Originator in the ordinary course of its business and (ii) satisfies all applicable requirements of the Originator’s Credit and Collection Policy;</w:t>
      </w:r>
    </w:p>
    <w:p>
      <w:pPr>
        <w:spacing w:after="0" w:line="161" w:lineRule="exact"/>
        <w:rPr>
          <w:rFonts w:ascii="Times New Roman" w:cs="Times New Roman" w:eastAsia="Times New Roman" w:hAnsi="Times New Roman"/>
          <w:sz w:val="18"/>
          <w:szCs w:val="18"/>
          <w:color w:val="auto"/>
        </w:rPr>
      </w:pPr>
    </w:p>
    <w:p>
      <w:pPr>
        <w:ind w:left="500" w:hanging="395"/>
        <w:spacing w:after="0"/>
        <w:tabs>
          <w:tab w:leader="none" w:pos="50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which is a “current transaction” within Section 3(a)(3) of the Securities Act;</w:t>
      </w:r>
    </w:p>
    <w:p>
      <w:pPr>
        <w:spacing w:after="0" w:line="225" w:lineRule="exact"/>
        <w:rPr>
          <w:rFonts w:ascii="Times New Roman" w:cs="Times New Roman" w:eastAsia="Times New Roman" w:hAnsi="Times New Roman"/>
          <w:sz w:val="18"/>
          <w:szCs w:val="18"/>
          <w:color w:val="auto"/>
        </w:rPr>
      </w:pPr>
    </w:p>
    <w:p>
      <w:pPr>
        <w:ind w:left="-540" w:firstLine="645"/>
        <w:spacing w:after="0" w:line="282" w:lineRule="auto"/>
        <w:tabs>
          <w:tab w:leader="none" w:pos="484"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represents part or all of the price of the sale of “merchandise,” “insurance” or “services” within the meaning of Section 3(c)(5) of the Investment</w:t>
      </w:r>
    </w:p>
    <w:p>
      <w:pPr>
        <w:spacing w:after="0" w:line="200" w:lineRule="exact"/>
        <w:rPr>
          <w:sz w:val="20"/>
          <w:szCs w:val="20"/>
          <w:color w:val="auto"/>
        </w:rPr>
      </w:pPr>
    </w:p>
    <w:p>
      <w:pPr>
        <w:spacing w:after="0" w:line="20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220"/>
          </w:cols>
          <w:pgMar w:left="1440" w:top="365" w:right="239" w:bottom="1440" w:gutter="0" w:footer="0" w:header="0"/>
        </w:sectPr>
      </w:pPr>
    </w:p>
    <w:bookmarkStart w:id="522" w:name="page523"/>
    <w:bookmarkEnd w:id="522"/>
    <w:p>
      <w:pPr>
        <w:ind w:left="660"/>
        <w:spacing w:after="0"/>
        <w:rPr>
          <w:sz w:val="20"/>
          <w:szCs w:val="20"/>
          <w:color w:val="auto"/>
        </w:rPr>
      </w:pPr>
      <w:r>
        <w:rPr>
          <w:rFonts w:ascii="Times New Roman" w:cs="Times New Roman" w:eastAsia="Times New Roman" w:hAnsi="Times New Roman"/>
          <w:sz w:val="18"/>
          <w:szCs w:val="18"/>
          <w:color w:val="auto"/>
        </w:rPr>
        <w:t>Company Act and which is an “eligible asset” as defined in Rule 3a-7 under the Investment Company Act;</w:t>
      </w:r>
    </w:p>
    <w:p>
      <w:pPr>
        <w:spacing w:after="0" w:line="225" w:lineRule="exact"/>
        <w:rPr>
          <w:sz w:val="20"/>
          <w:szCs w:val="20"/>
          <w:color w:val="auto"/>
        </w:rPr>
      </w:pPr>
    </w:p>
    <w:p>
      <w:pPr>
        <w:ind w:left="1780" w:hanging="475"/>
        <w:spacing w:after="0"/>
        <w:tabs>
          <w:tab w:leader="none" w:pos="178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which by Seller under the Sale Agreement, or by the related Purchaser under this Agreement, does not constitute 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52"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or an assignment of a claim under a policy of insurance;</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74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relate to the sale of any consigned goods or finished goods which have incorporated any consigned goods into such finished goods;</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(i) a Supplier Receivable or (ii) an Affiliate Receivable;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0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which (i) is not a Sanctioned Person and (ii) has a principal place of business or a billing address in the United States or has a principal place of business or a billing address in an OECD Country (other than the United States) maintaining a foreign currency rating of at least A by S&amp;P and A2 by Moody’s.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Enhancement Agreement</w:t>
      </w:r>
      <w:r>
        <w:rPr>
          <w:rFonts w:ascii="Times New Roman" w:cs="Times New Roman" w:eastAsia="Times New Roman" w:hAnsi="Times New Roman"/>
          <w:sz w:val="18"/>
          <w:szCs w:val="18"/>
          <w:color w:val="auto"/>
        </w:rPr>
        <w:t>” means any agreement between a Conduit Purchaser and any other Person(s), entered into to provide (directly or indirectly) credit enhancement to a Conduit Purchaser’s commercial paper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Enhancement Provider</w:t>
      </w:r>
      <w:r>
        <w:rPr>
          <w:rFonts w:ascii="Times New Roman" w:cs="Times New Roman" w:eastAsia="Times New Roman" w:hAnsi="Times New Roman"/>
          <w:sz w:val="18"/>
          <w:szCs w:val="18"/>
          <w:color w:val="auto"/>
        </w:rPr>
        <w:t>” means any Person providing credit support to a Conduit Purchaser under an Enhancement Agreement, including pursuant to an unfunded commitment, or any similar entity with respect to any permitted assignee of a Conduit Purchaser.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U.S.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Person, any corporation, trade or business that is a member of a Controlled Group that includes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Performance Guarantor or any of its ERISA Affiliates of any liability under Title IV of ERISA with respect to the termination of any Plan; (e) the receipt by Performance Guarantor or any ERISA Affiliate from the PBGC or a plan administrator of any notice relating to an intention to terminate any Plan or Plans or to appoint a trustee to administer any Plan; (f) the incurrence by Performance Guarantor or any of its ERISA Affiliates of any liability with</w:t>
      </w:r>
    </w:p>
    <w:p>
      <w:pPr>
        <w:spacing w:after="0" w:line="200" w:lineRule="exact"/>
        <w:rPr>
          <w:sz w:val="20"/>
          <w:szCs w:val="20"/>
          <w:color w:val="auto"/>
        </w:rPr>
      </w:pPr>
    </w:p>
    <w:p>
      <w:pPr>
        <w:spacing w:after="0" w:line="2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sectPr>
      </w:pPr>
    </w:p>
    <w:bookmarkStart w:id="523" w:name="page524"/>
    <w:bookmarkEnd w:id="523"/>
    <w:p>
      <w:pPr>
        <w:jc w:val="both"/>
        <w:spacing w:after="0" w:line="261" w:lineRule="auto"/>
        <w:rPr>
          <w:sz w:val="20"/>
          <w:szCs w:val="20"/>
          <w:color w:val="auto"/>
        </w:rPr>
      </w:pPr>
      <w:r>
        <w:rPr>
          <w:rFonts w:ascii="Times New Roman" w:cs="Times New Roman" w:eastAsia="Times New Roman" w:hAnsi="Times New Roman"/>
          <w:sz w:val="18"/>
          <w:szCs w:val="18"/>
          <w:color w:val="auto"/>
        </w:rPr>
        <w:t>respect to the withdrawal or partial withdrawal of Performance Guarantor or any of its ERISA Affiliates from any Plan or Multiemployer Plan; or (g) the receipt by Performance Guarantor or any ERISA Affiliate of any notice, or the receipt by any Multiemployer Plan from Performance Guarantor or any ERISA Affiliate of any notice, concerning the imposition upon Performance Guarantor or any of its ERISA Affiliates of Withdrawal Liability or a determination that a Multiemployer Plan is, or is expected to be, insolvent or in reorganization, within the meaning of Title IV of ERISA.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Bankruptcy</w:t>
      </w:r>
      <w:r>
        <w:rPr>
          <w:rFonts w:ascii="Times New Roman" w:cs="Times New Roman" w:eastAsia="Times New Roman" w:hAnsi="Times New Roman"/>
          <w:sz w:val="18"/>
          <w:szCs w:val="18"/>
          <w:color w:val="auto"/>
        </w:rPr>
        <w:t>” shall be deemed to have occurred with respect to a Person if either:</w:t>
      </w:r>
    </w:p>
    <w:p>
      <w:pPr>
        <w:spacing w:after="0" w:line="225" w:lineRule="exact"/>
        <w:rPr>
          <w:sz w:val="20"/>
          <w:szCs w:val="20"/>
          <w:color w:val="auto"/>
        </w:rPr>
      </w:pPr>
    </w:p>
    <w:p>
      <w:pPr>
        <w:jc w:val="both"/>
        <w:ind w:left="660" w:firstLine="645"/>
        <w:spacing w:after="0" w:line="255" w:lineRule="auto"/>
        <w:tabs>
          <w:tab w:leader="none" w:pos="1785"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other similar official) for such Person or all or substantially all of its assets, or any similar action with respect to such Person under any Law relating to bankruptcy, insolvency, reorganization, winding up or composition or adjustment of debts, and such case or proceeding shall continue unstayed or undismissed for a period of sixty (60) days (or, for purposes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10.1(d)</w:t>
      </w:r>
      <w:r>
        <w:rPr>
          <w:rFonts w:ascii="Times New Roman" w:cs="Times New Roman" w:eastAsia="Times New Roman" w:hAnsi="Times New Roman"/>
          <w:sz w:val="18"/>
          <w:szCs w:val="18"/>
          <w:color w:val="auto"/>
        </w:rPr>
        <w:t>, if such case or proceeding is in respect of Seller, zero (0) days); or (ii) an order for relief in respect of such Person shall be entered in an involuntary case under the federal bankruptcy Laws or other similar Laws now or hereafter in effect; or</w:t>
      </w:r>
    </w:p>
    <w:p>
      <w:pPr>
        <w:spacing w:after="0" w:line="189" w:lineRule="exact"/>
        <w:rPr>
          <w:rFonts w:ascii="Times New Roman" w:cs="Times New Roman" w:eastAsia="Times New Roman" w:hAnsi="Times New Roman"/>
          <w:sz w:val="18"/>
          <w:szCs w:val="18"/>
          <w:color w:val="auto"/>
        </w:rPr>
      </w:pPr>
    </w:p>
    <w:p>
      <w:pPr>
        <w:jc w:val="both"/>
        <w:ind w:left="660" w:right="20" w:firstLine="645"/>
        <w:spacing w:after="0" w:line="257" w:lineRule="auto"/>
        <w:tabs>
          <w:tab w:leader="none" w:pos="1766"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 shall commence a voluntary case or other proceeding under any applicable bankruptcy, insolvency, reorganization, debt arrangement, dissolution or other similar Law now or hereafter in effect, or (ii) shall consent to the appointment of or taking possession by a receiver, liquidator, assignee, trustee, custodian, sequestrator (or other similar official) for, such Person or for any substantial part of its property, or</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81"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make any general assignment for the benefit of creditors, or shall fail to, or admit in writing its inability to, pay its debts generally as they become due, or, if a corporation or similar entity, its board of directors (or any board or Person holding similar rights to control the activities of such Person) shall vote to implement any of the foregoing.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Taxes which are (x) both (a) imposed by the jurisdiction in which such Indemnified Party or Affected Party, as the context requires, is organized, a taxing authority thereof or therein or by a taxing authority of any other jurisdiction as a result of such Indemnified Party doing business or maintaining an office in such jurisdiction (other than such Taxes that would not have been imposed but for (i) such Indemnified Party having executed, or enforced, a Transaction Document or (ii) any of the transactions contemplated herein or in the other Transaction Documents) and also</w:t>
      </w:r>
    </w:p>
    <w:p>
      <w:pPr>
        <w:spacing w:after="0" w:line="3" w:lineRule="exact"/>
        <w:rPr>
          <w:sz w:val="20"/>
          <w:szCs w:val="20"/>
          <w:color w:val="auto"/>
        </w:rPr>
      </w:pPr>
    </w:p>
    <w:p>
      <w:pPr>
        <w:ind w:right="20" w:firstLine="8"/>
        <w:spacing w:after="0" w:line="261" w:lineRule="auto"/>
        <w:tabs>
          <w:tab w:leader="none" w:pos="26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on, based on or measured by net income, capital or net worth of such Indemnified Party (other than Taxes that are, or are in the nature of, sales, use, rental, property or value added or similar taxes); (y) attributable to any Secured</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4" w:right="23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color w:val="auto"/>
        </w:rPr>
        <w:t>Party’s failure to comply with Section 1.14; or (z) U.S. federal withholding taxes imposed under FATCA.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Exiting Purchaser</w:t>
      </w:r>
      <w:r>
        <w:rPr>
          <w:rFonts w:ascii="Times New Roman" w:cs="Times New Roman" w:eastAsia="Times New Roman" w:hAnsi="Times New Roman"/>
          <w:sz w:val="18"/>
          <w:szCs w:val="18"/>
          <w:color w:val="auto"/>
        </w:rPr>
        <w:t>” means any Purchaser where the Commitment Termination Date for the Committed Purchaser in such Purchaser’s Group has occurred.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Concentration Amount</w:t>
      </w:r>
      <w:r>
        <w:rPr>
          <w:rFonts w:ascii="Times New Roman" w:cs="Times New Roman" w:eastAsia="Times New Roman" w:hAnsi="Times New Roman"/>
          <w:sz w:val="18"/>
          <w:szCs w:val="18"/>
          <w:color w:val="auto"/>
        </w:rPr>
        <w:t xml:space="preserve">” means, at any time, the amount (if any) by which (a) the aggregate Unpaid Balance of all Eligible Receivables that are Extended Term Receivables, </w:t>
      </w:r>
      <w:r>
        <w:rPr>
          <w:rFonts w:ascii="Times New Roman" w:cs="Times New Roman" w:eastAsia="Times New Roman" w:hAnsi="Times New Roman"/>
          <w:sz w:val="18"/>
          <w:szCs w:val="18"/>
          <w:u w:val="single" w:color="auto"/>
          <w:color w:val="auto"/>
        </w:rPr>
        <w:t>exceeds</w:t>
      </w:r>
      <w:r>
        <w:rPr>
          <w:rFonts w:ascii="Times New Roman" w:cs="Times New Roman" w:eastAsia="Times New Roman" w:hAnsi="Times New Roman"/>
          <w:sz w:val="18"/>
          <w:szCs w:val="18"/>
          <w:color w:val="auto"/>
        </w:rPr>
        <w:t xml:space="preserve"> (b) 5.0% of the aggregate Unpaid Balance of all Eligible Receivables.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Receivable</w:t>
      </w:r>
      <w:r>
        <w:rPr>
          <w:rFonts w:ascii="Times New Roman" w:cs="Times New Roman" w:eastAsia="Times New Roman" w:hAnsi="Times New Roman"/>
          <w:sz w:val="18"/>
          <w:szCs w:val="18"/>
          <w:color w:val="auto"/>
        </w:rPr>
        <w:t>” means, at any time, any Receivable with payment terms of more than one hundred (100) days, but not more than one hundred twenty (120) days, from the original billing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Period</w:t>
      </w:r>
      <w:r>
        <w:rPr>
          <w:rFonts w:ascii="Times New Roman" w:cs="Times New Roman" w:eastAsia="Times New Roman" w:hAnsi="Times New Roman"/>
          <w:sz w:val="18"/>
          <w:szCs w:val="18"/>
          <w:color w:val="auto"/>
        </w:rPr>
        <w:t>” is defined in the definition of “Delinquency Ratio”.</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Failure to Supply Check Payment Estimate</w:t>
      </w:r>
      <w:r>
        <w:rPr>
          <w:rFonts w:ascii="Times New Roman" w:cs="Times New Roman" w:eastAsia="Times New Roman" w:hAnsi="Times New Roman"/>
          <w:sz w:val="18"/>
          <w:szCs w:val="18"/>
          <w:color w:val="auto"/>
        </w:rPr>
        <w:t xml:space="preserve">” means, for any Settlement Period, the aggregate amount of dilution or similar adjustments arising out of penalty payments owing as a result of any failure to deliver any goods or furnish any services, as specified in the related Contract and that are expected by the Servicer to be made or otherwise incurred with respect to the then outstanding Pool Receivables solely by the issuance of a check or payment by wire transfer, automated clearing house or other electronic or immediately available payment method by Originator to the related Obligor and not by the issuance of a credit memo and for which (unless otherwise consented to in writing by the Agent and each Purchaser) the related Contract does not permit any such adjustment other than by the payment of a check or payment by wire transfer, automated clearing house or other electronic or immediately available payment method, as such expected dilution and similar adjustments are reflected on the books and records of the Servicer and reserved for by the Servicer, as determined in consultation with the external accountants of the Servicer and in accordance with the customary procedures established by the Servicer and such accountants;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estimate with respect to penalty payments for any Settlement Period that does not end on a fiscal quarter end of the Servicer shall equal an amount equal to the sum of (i) the aggregate amount reserved for by the Servicer for such penalty payments as of its prior fiscal quarter end,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equal to the average amount of penalty payments included in the “Failure to Supply Check Payment Estimate” for the twelve Settlement Periods preceding such prior fiscal quarter end,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aggregate amount of such penalty payments actually made by or on behalf of the Servicer since its prior fiscal quarter end.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 1471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4" w:right="239" w:bottom="1440" w:gutter="0" w:footer="0" w:header="0"/>
        </w:sectPr>
      </w:pPr>
    </w:p>
    <w:bookmarkStart w:id="525" w:name="page526"/>
    <w:bookmarkEnd w:id="5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period, a fluctuating interest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determined by Agent, equal (for each day during such period) to:</w:t>
      </w:r>
    </w:p>
    <w:p>
      <w:pPr>
        <w:spacing w:after="0" w:line="225" w:lineRule="exact"/>
        <w:rPr>
          <w:sz w:val="20"/>
          <w:szCs w:val="20"/>
          <w:color w:val="auto"/>
        </w:rPr>
      </w:pPr>
    </w:p>
    <w:p>
      <w:pPr>
        <w:jc w:val="both"/>
        <w:ind w:left="660" w:firstLine="645"/>
        <w:spacing w:after="0" w:line="266" w:lineRule="auto"/>
        <w:tabs>
          <w:tab w:leader="none" w:pos="1737"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34"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rate is not so published for any day which is a Business Day, the average of the quotations for such day on such transactions received by the applicable Liquidity Provider from three federal funds brokers of recognized standing selected by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Bank</w:t>
      </w:r>
      <w:r>
        <w:rPr>
          <w:rFonts w:ascii="Times New Roman" w:cs="Times New Roman" w:eastAsia="Times New Roman" w:hAnsi="Times New Roman"/>
          <w:sz w:val="18"/>
          <w:szCs w:val="18"/>
          <w:color w:val="auto"/>
        </w:rPr>
        <w:t>” means the Board of Governors of the Federal Reserve System, or any successor thereto or to the functions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Payout Date</w:t>
      </w:r>
      <w:r>
        <w:rPr>
          <w:rFonts w:ascii="Times New Roman" w:cs="Times New Roman" w:eastAsia="Times New Roman" w:hAnsi="Times New Roman"/>
          <w:sz w:val="18"/>
          <w:szCs w:val="18"/>
          <w:color w:val="auto"/>
        </w:rPr>
        <w:t>” means the date following the Purchase Termination Date on which Purchasers’ Total Investment shall have been reduced to zero, the Stated Amount of all Letters of Credit has been reduced to zero or have been cash collateralized in full by amounts on deposit in the Cash Collateral Account and all other amounts then accrued or payable to any of the Secured Parties under the Transaction Documents shall have been paid in full in cash.</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means, at any time, the “financial covenants” set forth in Section 6.07 of any Credit Agreement (or any replacement or successor to such Section)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Fee</w:t>
      </w:r>
      <w:r>
        <w:rPr>
          <w:rFonts w:ascii="Times New Roman" w:cs="Times New Roman" w:eastAsia="Times New Roman" w:hAnsi="Times New Roman"/>
          <w:sz w:val="18"/>
          <w:szCs w:val="18"/>
          <w:color w:val="auto"/>
        </w:rPr>
        <w:t>” is defined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LOC Issuer</w:t>
      </w:r>
      <w:r>
        <w:rPr>
          <w:rFonts w:ascii="Times New Roman" w:cs="Times New Roman" w:eastAsia="Times New Roman" w:hAnsi="Times New Roman"/>
          <w:sz w:val="18"/>
          <w:szCs w:val="18"/>
          <w:color w:val="auto"/>
        </w:rPr>
        <w:t>” means PNC, as LOC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Purchase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government or political subdivision or any agency, authority, bureau, regulatory body, central bank, commission, department or instrumentality of any such government or political subdivision, or any other entity exercising executive, legislative, judicial, regulatory or administrative functions of or pertaining to government or any court, tribunal, grand jury or arbitrator, or any accounting board or authority (whether or not part of a government) which is responsible for the establishment or interpretation of national or international accounting principles, in each case whether foreign or domestic.</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 Excess Concentration Amount</w:t>
      </w:r>
      <w:r>
        <w:rPr>
          <w:rFonts w:ascii="Times New Roman" w:cs="Times New Roman" w:eastAsia="Times New Roman" w:hAnsi="Times New Roman"/>
          <w:sz w:val="18"/>
          <w:szCs w:val="18"/>
          <w:color w:val="auto"/>
        </w:rPr>
        <w:t xml:space="preserve">” means, at any time, the amount (if any) by which (a) the aggregate Unpaid Balance of all Eligible Receivables, the Obligors of which are Governmental Authorities </w:t>
      </w:r>
      <w:r>
        <w:rPr>
          <w:rFonts w:ascii="Times New Roman" w:cs="Times New Roman" w:eastAsia="Times New Roman" w:hAnsi="Times New Roman"/>
          <w:sz w:val="18"/>
          <w:szCs w:val="18"/>
          <w:u w:val="single" w:color="auto"/>
          <w:color w:val="auto"/>
        </w:rPr>
        <w:t>exceeds</w:t>
      </w:r>
      <w:r>
        <w:rPr>
          <w:rFonts w:ascii="Times New Roman" w:cs="Times New Roman" w:eastAsia="Times New Roman" w:hAnsi="Times New Roman"/>
          <w:sz w:val="18"/>
          <w:szCs w:val="18"/>
          <w:color w:val="auto"/>
        </w:rPr>
        <w:t>, (b) 5.0% of the aggregate Unpaid Balance of all Eligible Receivables.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each Purchaser Agent and its Conduit Purchasers and Committed Purchasers, as applicable.</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64" w:right="239" w:bottom="1440" w:gutter="0" w:footer="0" w:header="0"/>
        </w:sectPr>
      </w:pPr>
    </w:p>
    <w:bookmarkStart w:id="526" w:name="page527"/>
    <w:bookmarkEnd w:id="5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Limit</w:t>
      </w:r>
      <w:r>
        <w:rPr>
          <w:rFonts w:ascii="Times New Roman" w:cs="Times New Roman" w:eastAsia="Times New Roman" w:hAnsi="Times New Roman"/>
          <w:sz w:val="18"/>
          <w:szCs w:val="18"/>
          <w:color w:val="auto"/>
        </w:rPr>
        <w:t>” means, for any Group, the sum of all Commitments of all the Committed Purchasers in such Purchaser Group.</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(a) to purchase or pay (or advance or supply funds for the purchase or payment of) such indebtedness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indebtedness or other obligation of the payment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Guaranty shall not include endorsements for collection or deposit in the ordinary course of business. The term “Guaranty” used as a verb has a corresponding meaning.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Amounts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 “Indemnified Parties” has a correlative meaning.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Manager</w:t>
      </w:r>
      <w:r>
        <w:rPr>
          <w:rFonts w:ascii="Times New Roman" w:cs="Times New Roman" w:eastAsia="Times New Roman" w:hAnsi="Times New Roman"/>
          <w:sz w:val="18"/>
          <w:szCs w:val="18"/>
          <w:color w:val="auto"/>
        </w:rPr>
        <w:t xml:space="preserve">” means a natural person who (A) for the five-year period prior to his or her appointment as Independent Manager of the Seller has not been, and during the continuation of his or her service as Independent Manager of the Seller is not: (i) an employee, director, stockholder, member, manager, partner or officer of the Seller, Originator or MPI or any of their respective Affiliates (other than his or her service as an Independent Manager of the Seller); (ii) a customer or supplier of the Seller, Originator or MPI or any of their respective Affiliates (other than his or her service as an Independent Manager of the Seller); or (iii) any member of the immediate family of a person described 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 has (i) prior experience as an Independent Manager for a corporation or limited liability company whose organizational or charter documents required the unanimous consent of all Independent Managers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 and (C) is reasonably acceptable to the Agent (with the direction or consent of the Purchaser Agents) (provided that the Agent and the Purchaser Agents shall be deemed to have accepted the appointment of Frank B. Bilotta as the initial Independent Manager by their execution of this Agreement).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Package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at any time with respect to the Asset Interest and any Purchaser, an amount equal to the sum of (a) the aggregate of the amounts theretofore paid to Seller by such Purchaser for Funded Purchases (or deemed Funded Purchase) (in cash or as a participation in a LOC Purchase) pursuant to Section 1.1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 of Collections theretofore</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527" w:name="page528"/>
    <w:bookmarkEnd w:id="52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received and actually distributed to such Purchaser, and not reinvested as a Reinvestment, on account of such Purchaser’s Investment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not rescinded or otherwise returned or reinvested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and (b) the LOC Exposure of such Purchaser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amounts on deposit in the Cash Collateral Account, if any, and allocated to such Purchaser’s LOC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Investment of and any fees or Yield payable with respect thereto, will be increased or decreased, as applicable, to give effect to any reallocations of participations in Letters of Credit in accordance with </w:t>
      </w:r>
      <w:r>
        <w:rPr>
          <w:rFonts w:ascii="Times New Roman" w:cs="Times New Roman" w:eastAsia="Times New Roman" w:hAnsi="Times New Roman"/>
          <w:sz w:val="18"/>
          <w:szCs w:val="18"/>
          <w:u w:val="single" w:color="auto"/>
          <w:color w:val="auto"/>
        </w:rPr>
        <w:t>Section 1.6(a)(ii)</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has the meaning set forth in the Investment Company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ISP98 Rules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constitution, statute, treaty, regulation, rule, ordinance, order, injunction, writ, decree, judgment, award or similar item of or by a Governmental Authority or any interpretation, implementation or application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Final</w:t>
      </w:r>
      <w:r>
        <w:rPr>
          <w:rFonts w:ascii="Times New Roman" w:cs="Times New Roman" w:eastAsia="Times New Roman" w:hAnsi="Times New Roman"/>
          <w:sz w:val="18"/>
          <w:szCs w:val="18"/>
          <w:color w:val="auto"/>
        </w:rPr>
        <w:t>” means the one-year anniversary of the occurrence of the Purchase Termination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5"/>
        <w:spacing w:after="0" w:line="255" w:lineRule="auto"/>
        <w:tabs>
          <w:tab w:leader="none" w:pos="1679"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Yield Period for each Group other than the PNC Group, either (a) the interest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designated as LIBO Rate for the applicable Purchaser Agent for a period of time comparable to such Yield Period as of 11:00 a.m. (London, England time) on the second Business Day preceding the first day of such Yield Period or (b) if a rate cannot be determined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 annual rate equal to the average (rounded upwards if necessary to the nearest 1/100th of 1%) of the rates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at which deposits in U.S. Dollars with a duration comparable to such Yield Period in a principal amount substantially equal to the applicable Rate Tranche are offered to the principal London office of the applicable Purchaser Agent by three London banks, selected by such Purchaser Agent in good faith, at about 11:00 a.m. London time on the second Business Day preceding the first day of such Yield Period; and</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23"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day during any Yield Period for the PNC Group, either (a) the one-month eurodollar rate for U.S. Dollar deposits that appears on the Reuters Screen LIBOR01 Page (rounded upwards if necessary to the nearest 1/100th of 1%) or any other page that may replace such page from time to time for the purpose of displaying offered rates of leading banks for London interbank deposits in U.S. Dollars as of 11:00 a.m. (London, England time) on such day, or if such day is not a Business Day, then the immediately preceding Business Day (or if not so reported, then as determined by the Agent from another recognized source for interbank quotation), in each case, changing when and as such rate changes or (b) if a rate cannot be determined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4" w:right="239" w:bottom="1440" w:gutter="0" w:footer="0" w:header="0"/>
        </w:sectPr>
      </w:pPr>
    </w:p>
    <w:bookmarkStart w:id="528" w:name="page529"/>
    <w:bookmarkEnd w:id="52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annual rate equal to the average (rounded upwards if necessary to the nearest 1/100th of 1%) of the rates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at which deposits in U.S. Dollars with a one-month duration in a principal amount substantially equal to the applicable Rate Tranche are offered to the principal London office of PNC by three London banks, selected by PNC in good faith, at about 11:00 a.m. London time on such day.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the LIBO Rate as determined herein at any time would be less than zero (0.00), such rate shall be deemed at such time to be zero percent (0.00%) for purposes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assignment, deposit arrangement, encumbrance, lien (statutory or other), preference, priority or other security agreement or preferential arrangement of any kind or nature whatsoever, including any conditional sale or other title retention agreement and any financing lease having substantially the same economic effect as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Fee</w:t>
      </w:r>
      <w:r>
        <w:rPr>
          <w:rFonts w:ascii="Times New Roman" w:cs="Times New Roman" w:eastAsia="Times New Roman" w:hAnsi="Times New Roman"/>
          <w:sz w:val="18"/>
          <w:szCs w:val="18"/>
          <w:color w:val="auto"/>
        </w:rPr>
        <w:t xml:space="preserve">” means, for each Rate Tranche (or portion thereof) for each day in any Yield Period or Settlement Period (computed without regard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u w:val="single" w:color="auto"/>
          <w:color w:val="auto"/>
        </w:rPr>
        <w:t>proviso</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u w:val="single" w:color="auto"/>
          <w:color w:val="auto"/>
        </w:rPr>
        <w:t>Yield Period</w:t>
      </w:r>
      <w:r>
        <w:rPr>
          <w:rFonts w:ascii="Times New Roman" w:cs="Times New Roman" w:eastAsia="Times New Roman" w:hAnsi="Times New Roman"/>
          <w:sz w:val="18"/>
          <w:szCs w:val="18"/>
          <w:color w:val="auto"/>
        </w:rPr>
        <w:t>”) during the Liquidation Period, the amount, if any, by which:</w:t>
      </w:r>
    </w:p>
    <w:p>
      <w:pPr>
        <w:spacing w:after="0" w:line="162" w:lineRule="exact"/>
        <w:rPr>
          <w:sz w:val="20"/>
          <w:szCs w:val="20"/>
          <w:color w:val="auto"/>
        </w:rPr>
      </w:pPr>
    </w:p>
    <w:p>
      <w:pPr>
        <w:jc w:val="both"/>
        <w:ind w:left="660" w:firstLine="645"/>
        <w:spacing w:after="0" w:line="261" w:lineRule="auto"/>
        <w:tabs>
          <w:tab w:leader="none" w:pos="1702"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Yield (calculated without taking into account any Liquidation Fee) which would have accrued on the reductions of such Purchaser’s Tranche Investment effected pursuant to </w:t>
      </w:r>
      <w:r>
        <w:rPr>
          <w:rFonts w:ascii="Times New Roman" w:cs="Times New Roman" w:eastAsia="Times New Roman" w:hAnsi="Times New Roman"/>
          <w:sz w:val="18"/>
          <w:szCs w:val="18"/>
          <w:u w:val="single" w:color="auto"/>
          <w:color w:val="auto"/>
        </w:rPr>
        <w:t>Section 1.3(c)(ii</w:t>
      </w:r>
      <w:r>
        <w:rPr>
          <w:rFonts w:ascii="Times New Roman" w:cs="Times New Roman" w:eastAsia="Times New Roman" w:hAnsi="Times New Roman"/>
          <w:sz w:val="18"/>
          <w:szCs w:val="18"/>
          <w:color w:val="auto"/>
        </w:rPr>
        <w:t>) or (iii) with respect to such Rate Tranche for such day during such Yield Period or Settlement Period (as so computed) if such reductions had not been made until the last day of such Yield Period or Settlement Period exceeds,</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731"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if any, received for such day during such Yield Period or Settlement Period by the affected Purchaser from investing the proceeds of such reductions of Purchaser’s Tranche Investment.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Period</w:t>
      </w:r>
      <w:r>
        <w:rPr>
          <w:rFonts w:ascii="Times New Roman" w:cs="Times New Roman" w:eastAsia="Times New Roman" w:hAnsi="Times New Roman"/>
          <w:sz w:val="18"/>
          <w:szCs w:val="18"/>
          <w:color w:val="auto"/>
        </w:rPr>
        <w:t xml:space="preserve">” means the period commencing on the date on which the conditions precedent to Purchases and Reinvestments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are not satisfied (or expressly waived by each Purchaser) and Agent shall have notified Seller and Servicer that the Liquidation Period has commenced, and ending on the Final Payout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Advance</w:t>
      </w:r>
      <w:r>
        <w:rPr>
          <w:rFonts w:ascii="Times New Roman" w:cs="Times New Roman" w:eastAsia="Times New Roman" w:hAnsi="Times New Roman"/>
          <w:sz w:val="18"/>
          <w:szCs w:val="18"/>
          <w:color w:val="auto"/>
        </w:rPr>
        <w:t>” means a loan, advance, purchase or other similar action made by a Liquidity Provider pursuant to a Liquidity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Agent</w:t>
      </w:r>
      <w:r>
        <w:rPr>
          <w:rFonts w:ascii="Times New Roman" w:cs="Times New Roman" w:eastAsia="Times New Roman" w:hAnsi="Times New Roman"/>
          <w:sz w:val="18"/>
          <w:szCs w:val="18"/>
          <w:color w:val="auto"/>
        </w:rPr>
        <w:t>” means BTMUNY or any other Person that is any time a liquidity agent under a Liquidity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Agreement</w:t>
      </w:r>
      <w:r>
        <w:rPr>
          <w:rFonts w:ascii="Times New Roman" w:cs="Times New Roman" w:eastAsia="Times New Roman" w:hAnsi="Times New Roman"/>
          <w:sz w:val="18"/>
          <w:szCs w:val="18"/>
          <w:color w:val="auto"/>
        </w:rPr>
        <w:t>” means any agreement entered into, directly or indirectly, in connection with or related to, this Agreement pursuant to which any Person agrees to make loans or advances to, or purchase from, a Conduit Purchaser (directly or indirectly) in order to provide liquidity for such Conduit Purchaser’s Commercial Paper Notes or other senior indebtedness.</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sectPr>
      </w:pPr>
    </w:p>
    <w:bookmarkStart w:id="529" w:name="page530"/>
    <w:bookmarkEnd w:id="5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Provider</w:t>
      </w:r>
      <w:r>
        <w:rPr>
          <w:rFonts w:ascii="Times New Roman" w:cs="Times New Roman" w:eastAsia="Times New Roman" w:hAnsi="Times New Roman"/>
          <w:sz w:val="18"/>
          <w:szCs w:val="18"/>
          <w:color w:val="auto"/>
        </w:rPr>
        <w:t>” means any lender or liquidity provider that is at any time party to a Liquidity Agreement or any successor or assign of such lender or liquidity provider or any similar entity with respect to any permitted assignee of Purchaser.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Exposure</w:t>
      </w:r>
      <w:r>
        <w:rPr>
          <w:rFonts w:ascii="Times New Roman" w:cs="Times New Roman" w:eastAsia="Times New Roman" w:hAnsi="Times New Roman"/>
          <w:sz w:val="18"/>
          <w:szCs w:val="18"/>
          <w:color w:val="auto"/>
        </w:rPr>
        <w:t>” means, at any time with respect to the Seller, the sum total of the amount of the Letter of Credit exposure on account with respect to the Seller whether constituting a LOC Purchase or otherwise arising hereunder. The LOC Exposure of any Committed Purchaser at any time shall be the amount of its applicable percentage of the aggregate LOC Exposure with respect to the Stated Amount of all outstanding Letters of Credit at such time in accordance with the terms of this Agreement, and the LOC Exposure of any LOC Issuer shall mean the sum total of the Stated Amounts of all Letters of Credit issued by it pursuant to this Agreement.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Group</w:t>
      </w:r>
      <w:r>
        <w:rPr>
          <w:rFonts w:ascii="Times New Roman" w:cs="Times New Roman" w:eastAsia="Times New Roman" w:hAnsi="Times New Roman"/>
          <w:sz w:val="18"/>
          <w:szCs w:val="18"/>
          <w:color w:val="auto"/>
        </w:rPr>
        <w:t>” means with respect to the Fronting LOC Issuer, all of the members of all of the Groups, or in the event there is more than one LOC Issuer or Fronting LOC Issuer, all of the members of the Groups designated to each such LOC Issuer or Fronting LOC Issuer, as applicable, in any amendment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Group Participant</w:t>
      </w:r>
      <w:r>
        <w:rPr>
          <w:rFonts w:ascii="Times New Roman" w:cs="Times New Roman" w:eastAsia="Times New Roman" w:hAnsi="Times New Roman"/>
          <w:sz w:val="18"/>
          <w:szCs w:val="18"/>
          <w:color w:val="auto"/>
        </w:rPr>
        <w:t>” shall mean, with respect to the Fronting LOC Issuer, the Committed Purchasers as the context requires.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Issuance Limit</w:t>
      </w:r>
      <w:r>
        <w:rPr>
          <w:rFonts w:ascii="Times New Roman" w:cs="Times New Roman" w:eastAsia="Times New Roman" w:hAnsi="Times New Roman"/>
          <w:sz w:val="18"/>
          <w:szCs w:val="18"/>
          <w:color w:val="auto"/>
        </w:rPr>
        <w:t>” means, with respect to an LOC Issuer, the maximum Stated Amount of Letters of Credit that such LOC Issuer is obligated to issue hereunder on account of any Purchase, as set forth below its signature to this Agreement, which amount may be increased from time to time upon prior written request of the Seller and with the written consent of the applicable LOC Issuer and its related Purchaser Agent in their sole and absolute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Issuer</w:t>
      </w:r>
      <w:r>
        <w:rPr>
          <w:rFonts w:ascii="Times New Roman" w:cs="Times New Roman" w:eastAsia="Times New Roman" w:hAnsi="Times New Roman"/>
          <w:sz w:val="18"/>
          <w:szCs w:val="18"/>
          <w:color w:val="auto"/>
        </w:rPr>
        <w:t>” shall mean PNC and each other Person from time to time party hereto as an LOC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Participation Obligations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 Purchase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Agreement</w:t>
      </w:r>
      <w:r>
        <w:rPr>
          <w:rFonts w:ascii="Times New Roman" w:cs="Times New Roman" w:eastAsia="Times New Roman" w:hAnsi="Times New Roman"/>
          <w:sz w:val="18"/>
          <w:szCs w:val="18"/>
          <w:color w:val="auto"/>
        </w:rPr>
        <w:t>” means a valid and enforceable agreement in form and substance reasonably satisfactory to Agent, among Seller, Servicer, Agent and any Lock-Box Bank, whereupon Seller, as sole owner of the related lock-box account(s) and the customer of the related Lock-Box Bank in respect of such lock-box account(s), shall transfer to the Agent exclusive dominion and control over, and a first priority perfected security interest in, such lock-box account(s) and the cash, instruments or other property on deposit or held therein.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Lock-Box Bank</w:t>
      </w:r>
      <w:r>
        <w:rPr>
          <w:rFonts w:ascii="Times New Roman" w:cs="Times New Roman" w:eastAsia="Times New Roman" w:hAnsi="Times New Roman"/>
          <w:sz w:val="18"/>
          <w:szCs w:val="18"/>
          <w:color w:val="auto"/>
        </w:rPr>
        <w:t>” means any of the banks at which Seller maintains one or more lock-box accounts.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Horizon Ratio</w:t>
      </w:r>
      <w:r>
        <w:rPr>
          <w:rFonts w:ascii="Times New Roman" w:cs="Times New Roman" w:eastAsia="Times New Roman" w:hAnsi="Times New Roman"/>
          <w:sz w:val="18"/>
          <w:szCs w:val="18"/>
          <w:color w:val="auto"/>
        </w:rPr>
        <w:t>” means, for each day during a Settlement Period, a fraction (expressed as a percentage), (a) the numerator of which is the aggregate initial Unpaid Balance of all Receivables originated by Originator during the immediately preceding seven (7)</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color w:val="auto"/>
        </w:rPr>
        <w:t>Settlement Periods and (b) the denominator of which is the Net Pool Balance as of the Cut-Off Date of such current Settlement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 Reserve Floor Percentage</w:t>
      </w:r>
      <w:r>
        <w:rPr>
          <w:rFonts w:ascii="Times New Roman" w:cs="Times New Roman" w:eastAsia="Times New Roman" w:hAnsi="Times New Roman"/>
          <w:sz w:val="18"/>
          <w:szCs w:val="18"/>
          <w:color w:val="auto"/>
        </w:rPr>
        <w:t>” means 32.0%.</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the Unpaid Balance of any Pool Receivables that have been, or should have been, written-off as uncollectible by Servicer in accordance with the Credit and Collection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event or circumstance, a material adverse effect on:</w:t>
      </w:r>
    </w:p>
    <w:p>
      <w:pPr>
        <w:spacing w:after="0" w:line="225" w:lineRule="exact"/>
        <w:rPr>
          <w:sz w:val="20"/>
          <w:szCs w:val="20"/>
          <w:color w:val="auto"/>
        </w:rPr>
      </w:pPr>
    </w:p>
    <w:p>
      <w:pPr>
        <w:jc w:val="both"/>
        <w:ind w:left="660" w:firstLine="645"/>
        <w:spacing w:after="0" w:line="266" w:lineRule="auto"/>
        <w:tabs>
          <w:tab w:leader="none" w:pos="1822"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 particular Person is specified, the ability of such Person to perform its obligations under this Agreement or any other Transaction Document or (ii) if a particular Person is not specified, the ability of Originator, Servicer, Performance Guarantor or Seller to perform its obligations under this Agreement or any other Transaction Document;</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1712"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validity or enforceability of any Transaction Document or (ii) the value, validity, enforceability or collectability of any material portion of the Pool Receivables or the Related Assets;</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5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existence, perfection, priority, enforceability or other rights and remedies of any Purchaser, Agent or any other Secured Party associated with Purchaser’s or its respective interest in the Pool Receivables or the Related Assets; or</w:t>
      </w:r>
    </w:p>
    <w:p>
      <w:pPr>
        <w:spacing w:after="0" w:line="161"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180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 particular Person is specified, the business, assets, properties or financial condition of such Person (and its Affiliates, if applicable) or (ii) if a particular Person is not specified, the business, assets, properties or financial condition of Originator, MPI, Performance Guarantor, Seller or Servicer (and, in each case, its Affiliates,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at any time, any “Material Indebtedness” (or any replacement term) as defined in any Credit Agreement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Subsidiary (or group of Subsidiaries as to which a specified condition applies) that would be a “significant subsidiary” under Rule 1-02(w) of Regulation S-X.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MPI</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Mylan Inc. Change of Control</w:t>
      </w:r>
      <w:r>
        <w:rPr>
          <w:rFonts w:ascii="Times New Roman" w:cs="Times New Roman" w:eastAsia="Times New Roman" w:hAnsi="Times New Roman"/>
          <w:sz w:val="18"/>
          <w:szCs w:val="18"/>
          <w:color w:val="auto"/>
        </w:rPr>
        <w:t>” means, at any time, a “Change in Control” (or any replacement term thereof) as such term is defined in any Credit Agreement at such time;</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531" w:name="page532"/>
    <w:bookmarkEnd w:id="53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any Credit Agreement is terminated or such defined term is no longer used in any Credit Agreement, the meaning assigned to such term immediately preceding such termination or non-usage shall be used for purposes of this definition.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Pool Balance</w:t>
      </w:r>
      <w:r>
        <w:rPr>
          <w:rFonts w:ascii="Times New Roman" w:cs="Times New Roman" w:eastAsia="Times New Roman" w:hAnsi="Times New Roman"/>
          <w:sz w:val="18"/>
          <w:szCs w:val="18"/>
          <w:color w:val="auto"/>
        </w:rPr>
        <w:t xml:space="preserve">” means, at any time, an amount equal to the aggregate Unpaid Balance of Pool Receivables that are Eligible Receivables determined at such time,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(without duplication) the sum of (a) the aggregate Dilution incurred with respect to all Eligible Receivables, (b) the aggregate Unpaid Balance of Defaulted Receivables, (c) with respect to any Obligor, the aggregate Unpaid Balance of such Eligible Receivables owed by such Obligor or an Affiliate of such Obligor that exceeds the Concentration Limit at such time, (d) the Governmental Authority Excess Concentration Amount at such time,</w:t>
      </w:r>
    </w:p>
    <w:p>
      <w:pPr>
        <w:spacing w:after="0" w:line="3" w:lineRule="exact"/>
        <w:rPr>
          <w:sz w:val="20"/>
          <w:szCs w:val="20"/>
          <w:color w:val="auto"/>
        </w:rPr>
      </w:pPr>
    </w:p>
    <w:p>
      <w:pPr>
        <w:jc w:val="both"/>
        <w:ind w:firstLine="8"/>
        <w:spacing w:after="0" w:line="255" w:lineRule="auto"/>
        <w:tabs>
          <w:tab w:leader="none" w:pos="25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OECD Excess Concentration Amount at such time, (f) the Adjusted Contractual Dilution Estimate at such time, (g) the Extended Term Concentration Amount at such time and (h) the amount of any Collections received by the Seller or the Servicer (including by deposit to any of the Seller’s lock-box accounts) that have not yet been applied by the Seller or the Servicer to reduce the Unpaid Balance of the related Pool Receivables.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Mylan</w:t>
      </w:r>
      <w:r>
        <w:rPr>
          <w:rFonts w:ascii="Times New Roman" w:cs="Times New Roman" w:eastAsia="Times New Roman" w:hAnsi="Times New Roman"/>
          <w:sz w:val="18"/>
          <w:szCs w:val="18"/>
          <w:color w:val="auto"/>
        </w:rPr>
        <w:t>” means New Moon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xml:space="preserve">) organized under the laws of the Netherlands, and any successor entity (including a </w:t>
      </w:r>
      <w:r>
        <w:rPr>
          <w:rFonts w:ascii="Times New Roman" w:cs="Times New Roman" w:eastAsia="Times New Roman" w:hAnsi="Times New Roman"/>
          <w:sz w:val="18"/>
          <w:szCs w:val="18"/>
          <w:i w:val="1"/>
          <w:iCs w:val="1"/>
          <w:color w:val="auto"/>
        </w:rPr>
        <w:t>naamloze vennootschap met beperkte aansprakelijkheid</w:t>
      </w:r>
      <w:r>
        <w:rPr>
          <w:rFonts w:ascii="Times New Roman" w:cs="Times New Roman" w:eastAsia="Times New Roman" w:hAnsi="Times New Roman"/>
          <w:sz w:val="18"/>
          <w:szCs w:val="18"/>
          <w:color w:val="auto"/>
        </w:rPr>
        <w:t>) which, prior to the consummation of the Specified Acquisition Transaction, will be an indirect subsidiary of Performance Guarantor and, following the Specified Acquisition Transaction, will directly or indirectly hold Performance Guarantor as a subsidiary.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Owner</w:t>
      </w:r>
      <w:r>
        <w:rPr>
          <w:rFonts w:ascii="Times New Roman" w:cs="Times New Roman" w:eastAsia="Times New Roman" w:hAnsi="Times New Roman"/>
          <w:sz w:val="18"/>
          <w:szCs w:val="18"/>
          <w:color w:val="auto"/>
        </w:rPr>
        <w:t>” has the meaning set forth in the definition of “Ownership Change 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obligations of Seller arising in connection with this Agreement and each other Transaction Document, whether now or hereafter existing, due or to become due, direct or indirect, or absolute or contingent, including, all Indemnified Amounts, payments on account of Collections received or deemed to be received and fees, in each case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according to the respective amounts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a Person obligated to make payments with respect to a Receivable, including any guarantor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OECD Country</w:t>
      </w:r>
      <w:r>
        <w:rPr>
          <w:rFonts w:ascii="Times New Roman" w:cs="Times New Roman" w:eastAsia="Times New Roman" w:hAnsi="Times New Roman"/>
          <w:sz w:val="18"/>
          <w:szCs w:val="18"/>
          <w:color w:val="auto"/>
        </w:rPr>
        <w:t>” means any country that has signed the Convention on the Organisation for Economic Co-operation and Development.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OECD Excess Concentration Amount</w:t>
      </w:r>
      <w:r>
        <w:rPr>
          <w:rFonts w:ascii="Times New Roman" w:cs="Times New Roman" w:eastAsia="Times New Roman" w:hAnsi="Times New Roman"/>
          <w:sz w:val="18"/>
          <w:szCs w:val="18"/>
          <w:color w:val="auto"/>
        </w:rPr>
        <w:t xml:space="preserve">” means, at any time, the amount (if any) by which (a) the aggregate Unpaid Balance of all Eligible Receivables, the Obligors of which have a principal place of business or a billing address in an OECD Country (other than the United States) maintaining a foreign currency rating of at least A by S&amp;P and A2 by Moody’s, </w:t>
      </w:r>
      <w:r>
        <w:rPr>
          <w:rFonts w:ascii="Times New Roman" w:cs="Times New Roman" w:eastAsia="Times New Roman" w:hAnsi="Times New Roman"/>
          <w:sz w:val="18"/>
          <w:szCs w:val="18"/>
          <w:u w:val="single" w:color="auto"/>
          <w:color w:val="auto"/>
        </w:rPr>
        <w:t>exceeds</w:t>
      </w:r>
      <w:r>
        <w:rPr>
          <w:rFonts w:ascii="Times New Roman" w:cs="Times New Roman" w:eastAsia="Times New Roman" w:hAnsi="Times New Roman"/>
          <w:sz w:val="18"/>
          <w:szCs w:val="18"/>
          <w:color w:val="auto"/>
        </w:rPr>
        <w:t>, (b) 5.0% of the aggregate Unpaid Balance of all Eligible Receivables.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sectPr>
      </w:pPr>
    </w:p>
    <w:bookmarkStart w:id="532" w:name="page533"/>
    <w:bookmarkEnd w:id="5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6.1(z)</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6.1(z)</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Debt</w:t>
      </w:r>
      <w:r>
        <w:rPr>
          <w:rFonts w:ascii="Times New Roman" w:cs="Times New Roman" w:eastAsia="Times New Roman" w:hAnsi="Times New Roman"/>
          <w:sz w:val="18"/>
          <w:szCs w:val="18"/>
          <w:color w:val="auto"/>
        </w:rPr>
        <w:t xml:space="preserve">” means, with respect to any Person as of any date of determination thereof, without duplication and to the extent not included as a liability on the consolidated balance sheet of such Person and its Subsidiaries in accordance with generally accepted accounting principles consistently applied: (a) with respect to any asset securitization transaction (including any accounts receivable purchase facility) (i) the unrecovered investment of purchasers or transferees of assets so transferred and (ii) any other payment, recourse, repurchase, hold harmless, indemnity or similar obligation of such Person or any of its Subsidiaries in respect of assets transferred or payments made in respect thereof, other than limited recourse provisions that are customary for transactions of such type and that neither (x) have the effect of limiting the loss or credit risk of such purchasers or transferees with respect to payment or performance by the obligors of the assets so transferred nor (y) impair the characterization of the transaction as a true sale under applicable Laws; (b) the monetary obligations under any financing lease or so-called “synthetic,” tax retention or off-balance sheet lease transaction which, upon the application of any Bankruptcy Law to such Person or any of its Subsidiaries, would be characterized as indebtedness; (c) the monetary obligations under any sale and leaseback transaction which does not create a liability on the consolidated balance sheet of such Person and its Subsidiaries; (d) future minimum lease payments under non-cancelable operating leases; or (e) any other monetary obligation arising with respect to any other transaction which (i) upon the application of any Bankruptcy Law to such Person or any of its Subsidiaries, would be characterized as indebtedness or (ii) is the functional equivalent of or takes the place of borrowing but which does not constitute a liability on the consolidated balance sheet of such Person and its Subsidiaries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any transaction structured to provide tax deductibility as interest expense of any dividend, coupon or other periodic payment will be deemed to be the functional equivalent of a borrowing).</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Originator</w:t>
      </w:r>
      <w:r>
        <w:rPr>
          <w:rFonts w:ascii="Times New Roman" w:cs="Times New Roman" w:eastAsia="Times New Roman" w:hAnsi="Times New Roman"/>
          <w:sz w:val="18"/>
          <w:szCs w:val="18"/>
          <w:color w:val="auto"/>
        </w:rPr>
        <w:t>” means, each Person from time to time party to the Sale Agreement, as originator. As of the Closing Date, MPI is the sole Originator.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Change Agreement</w:t>
      </w:r>
      <w:r>
        <w:rPr>
          <w:rFonts w:ascii="Times New Roman" w:cs="Times New Roman" w:eastAsia="Times New Roman" w:hAnsi="Times New Roman"/>
          <w:sz w:val="18"/>
          <w:szCs w:val="18"/>
          <w:color w:val="auto"/>
        </w:rPr>
        <w:t>” has the meaning set forth in the definition of “Ownership Change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Change Conditions</w:t>
      </w:r>
      <w:r>
        <w:rPr>
          <w:rFonts w:ascii="Times New Roman" w:cs="Times New Roman" w:eastAsia="Times New Roman" w:hAnsi="Times New Roman"/>
          <w:sz w:val="18"/>
          <w:szCs w:val="18"/>
          <w:color w:val="auto"/>
        </w:rPr>
        <w:t>” means the satisfaction of each of the following conditions:</w:t>
      </w:r>
    </w:p>
    <w:p>
      <w:pPr>
        <w:spacing w:after="0" w:line="225" w:lineRule="exact"/>
        <w:rPr>
          <w:sz w:val="20"/>
          <w:szCs w:val="20"/>
          <w:color w:val="auto"/>
        </w:rPr>
      </w:pPr>
    </w:p>
    <w:p>
      <w:pPr>
        <w:jc w:val="both"/>
        <w:ind w:firstLine="656"/>
        <w:spacing w:after="0" w:line="266" w:lineRule="auto"/>
        <w:tabs>
          <w:tab w:leader="none" w:pos="104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on which any Person other than Originator owns or controls any portion of the Voting Stock of Seller (any such Person, a “</w:t>
      </w:r>
      <w:r>
        <w:rPr>
          <w:rFonts w:ascii="Times New Roman" w:cs="Times New Roman" w:eastAsia="Times New Roman" w:hAnsi="Times New Roman"/>
          <w:sz w:val="18"/>
          <w:szCs w:val="18"/>
          <w:u w:val="single" w:color="auto"/>
          <w:color w:val="auto"/>
        </w:rPr>
        <w:t>New Owner</w:t>
      </w:r>
      <w:r>
        <w:rPr>
          <w:rFonts w:ascii="Times New Roman" w:cs="Times New Roman" w:eastAsia="Times New Roman" w:hAnsi="Times New Roman"/>
          <w:sz w:val="18"/>
          <w:szCs w:val="18"/>
          <w:color w:val="auto"/>
        </w:rPr>
        <w:t>” and any such change in ownership, an “</w:t>
      </w:r>
      <w:r>
        <w:rPr>
          <w:rFonts w:ascii="Times New Roman" w:cs="Times New Roman" w:eastAsia="Times New Roman" w:hAnsi="Times New Roman"/>
          <w:sz w:val="18"/>
          <w:szCs w:val="18"/>
          <w:u w:val="single" w:color="auto"/>
          <w:color w:val="auto"/>
        </w:rPr>
        <w:t>Ownership Change Event</w:t>
      </w:r>
      <w:r>
        <w:rPr>
          <w:rFonts w:ascii="Times New Roman" w:cs="Times New Roman" w:eastAsia="Times New Roman" w:hAnsi="Times New Roman"/>
          <w:sz w:val="18"/>
          <w:szCs w:val="18"/>
          <w:color w:val="auto"/>
        </w:rPr>
        <w:t>”), no event has occurred that has not been waived in accordance with the terms of this Agreement, that constitutes an Event of Default or an Unmatured Event of Default;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04"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Inc. (or following the consummation of the Specified Acquisition Transaction, New Mylan) directly or indirectly owns and controls 100% of the Voting Stock of New Owner;</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64" w:right="239" w:bottom="1440" w:gutter="0" w:footer="0" w:header="0"/>
        </w:sectPr>
      </w:pPr>
    </w:p>
    <w:bookmarkStart w:id="533" w:name="page534"/>
    <w:bookmarkEnd w:id="533"/>
    <w:p>
      <w:pPr>
        <w:ind w:left="-656" w:firstLine="656"/>
        <w:spacing w:after="0" w:line="282" w:lineRule="auto"/>
        <w:tabs>
          <w:tab w:leader="none" w:pos="39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opinions of counsel, in form and substance reasonably satisfactory to Agent and each Purchaser Agent, with respect to customary corporate, tax, non-consolidation and bankruptcy matters reasonably requested by Agent;</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38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the certificates of incorporation or formation (or the equivalent thereof) of each New Owner, together with a copy of the by-laws (or the equivalent thereof) of each New Originator;</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40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New Owner has executed an agreement, in form and substance reasonably satisfactory to Agent and each Purchaser Agent, under which such New Owner has covenanted and agreed (i) to comply with each of the corporate separateness covenants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of this Agreement and Section 5.1(c) of the Sale Agreement, (ii) that it will not institute against Seller, or join any other Person in instituting against Seller, any proceeding of the type referred to in the definition of Event of Bankruptcy from the applicable Effective Date until one year plus one day after all of Obligations under the Transaction Documents have been satisfied in full and each of the Transaction Documents and all Commitment under this Agreement have terminated, (iii) not to transfer or assign any Voting Stock of Seller to any Person unless each of the conditions set forth in this definition of “Ownership Change Conditions” have been satisfied, (iv) not to alter or cause the alteration of any provision of Seller’s certificate of formation or limited liability company agreement without the prior written consent of Agent, such consent not to be unreasonably withheld or delayed and (v) that it will not cause Seller to violate or breach any provision of any of the Transaction Documents to which Seller is a party (each such agreement, a “</w:t>
      </w:r>
      <w:r>
        <w:rPr>
          <w:rFonts w:ascii="Times New Roman" w:cs="Times New Roman" w:eastAsia="Times New Roman" w:hAnsi="Times New Roman"/>
          <w:sz w:val="18"/>
          <w:szCs w:val="18"/>
          <w:u w:val="single" w:color="auto"/>
          <w:color w:val="auto"/>
        </w:rPr>
        <w:t>Separateness Agreement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656" w:firstLine="656"/>
        <w:spacing w:after="0" w:line="282" w:lineRule="auto"/>
        <w:tabs>
          <w:tab w:leader="none" w:pos="391"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restatement or supplement of Seller’s limited liability company agreement or certificate of formation in connection with any Ownership Change Event has been consented to in writing by Agent and each Purchaser Agent, such consent not to be unreasonably withheld or delayed;</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422"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agreement or other agreement through with any Voting Stock of Seller is transferred or assigned has been consented to in writing by Agent, such consent not to be unreasonably withheld or delayed (each such agreement, an “</w:t>
      </w:r>
      <w:r>
        <w:rPr>
          <w:rFonts w:ascii="Times New Roman" w:cs="Times New Roman" w:eastAsia="Times New Roman" w:hAnsi="Times New Roman"/>
          <w:sz w:val="18"/>
          <w:szCs w:val="18"/>
          <w:u w:val="single" w:color="auto"/>
          <w:color w:val="auto"/>
        </w:rPr>
        <w:t>Ownership Change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Guarantor has delivered a reaffirmation of the Performance Guaranty to the Agent as of the Effective Date;</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38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Servicer, Originator, Performance Guarantor and MPI have consented to such amendments to the Transaction Documents, solely as to such amendments where the purpose of such is to provide for any New Owner, with respect to the Ownership Change Event as reasonably requested by Agent; and</w:t>
      </w:r>
    </w:p>
    <w:p>
      <w:pPr>
        <w:spacing w:after="0" w:line="176"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such other agreements, instruments, certificates, opinions and documents as Agent may reasonably request.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means that certain payoff letter agreement, dated as of the date hereof, among each of the parties to the Prior Agreement.</w:t>
      </w:r>
    </w:p>
    <w:p>
      <w:pPr>
        <w:spacing w:after="0" w:line="200" w:lineRule="exact"/>
        <w:rPr>
          <w:sz w:val="20"/>
          <w:szCs w:val="20"/>
          <w:color w:val="auto"/>
        </w:rPr>
      </w:pPr>
    </w:p>
    <w:p>
      <w:pPr>
        <w:spacing w:after="0" w:line="268" w:lineRule="exact"/>
        <w:rPr>
          <w:sz w:val="20"/>
          <w:szCs w:val="20"/>
          <w:color w:val="auto"/>
        </w:rPr>
      </w:pPr>
    </w:p>
    <w:p>
      <w:pPr>
        <w:ind w:left="3564"/>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4"/>
          </w:cols>
          <w:pgMar w:left="896" w:top="364" w:right="239" w:bottom="1440" w:gutter="0" w:footer="0" w:header="0"/>
        </w:sectPr>
      </w:pPr>
    </w:p>
    <w:bookmarkStart w:id="534" w:name="page535"/>
    <w:bookmarkEnd w:id="5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Guarantor</w:t>
      </w:r>
      <w:r>
        <w:rPr>
          <w:rFonts w:ascii="Times New Roman" w:cs="Times New Roman" w:eastAsia="Times New Roman" w:hAnsi="Times New Roman"/>
          <w:sz w:val="18"/>
          <w:szCs w:val="18"/>
          <w:color w:val="auto"/>
        </w:rPr>
        <w:t>” means Mylan Inc.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Guaranty</w:t>
      </w:r>
      <w:r>
        <w:rPr>
          <w:rFonts w:ascii="Times New Roman" w:cs="Times New Roman" w:eastAsia="Times New Roman" w:hAnsi="Times New Roman"/>
          <w:sz w:val="18"/>
          <w:szCs w:val="18"/>
          <w:color w:val="auto"/>
        </w:rPr>
        <w:t>” means the amended and restated performance guaranty entered into by Performance Guarantor on the Closing Date in favor of the Agent, the Purchasers, the LOC Issuers and the other Secured Parties, as may be further amended, restated, modified or otherwise supplemented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5"/>
        <w:spacing w:after="0" w:line="282" w:lineRule="auto"/>
        <w:tabs>
          <w:tab w:leader="none" w:pos="173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overdraft protections and otherwise in connection with deposit accounts blocked by a Lock-Box Agreement that is incurred in the ordinary course of business and is due and payable;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2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which is due and payable pursuant to any agreement by any Person to perform professional, advisory, accounting, consulting or other services for another Person and is incurred in the ordinary course of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in any case, on any date of determination, in the aggregate, does not exceed $10,000 and which is able to be paid as and when due by Seller after satisfying all of its Obligations under the Transaction Documents that are then due or will become due on or before the next Settlement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individual, partnership, sole proprietorship, corporation (including a business trust), joint stock company, trust, unincorporated association, joint venture, limited liability company, any Governmental Authority or any other entity of whatever nature.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the minimum funding standards under ERISA or the Code and in respect of which MPI, Originator, Seller, the Performance Guarantor or any of their respective ERISA Affiliates is (or, if such plan were terminated, would under Section 4069 of ERISA be deemed to be) a “contributing sponsor” as defined in Section 4001(13) of ERISA.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Pool Receivable</w:t>
      </w:r>
      <w:r>
        <w:rPr>
          <w:rFonts w:ascii="Times New Roman" w:cs="Times New Roman" w:eastAsia="Times New Roman" w:hAnsi="Times New Roman"/>
          <w:sz w:val="18"/>
          <w:szCs w:val="18"/>
          <w:color w:val="auto"/>
        </w:rPr>
        <w:t>” means a Receivable in the Receivables Pool.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Officer</w:t>
      </w:r>
      <w:r>
        <w:rPr>
          <w:rFonts w:ascii="Times New Roman" w:cs="Times New Roman" w:eastAsia="Times New Roman" w:hAnsi="Times New Roman"/>
          <w:sz w:val="18"/>
          <w:szCs w:val="18"/>
          <w:color w:val="auto"/>
        </w:rPr>
        <w:t xml:space="preserve">” means, (i) with respect to Originator or Servicer, the officer who signed the most recent Information Package (or any replacement of such officer) and (ii) with respect to Seller, the officer who signed the most recent request for a Funded Purchase or an LOC Purchase delivered in accordance with the notice requirements in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as applicable (or any replacement of such officer).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designated by BTMUNY from time to time as its prime rate in the United States, such rate to change as and when such designated rate changes. The Prime Rate is not intended to be the lowest rate of interest charged by BTMUNY in connection with extensions of credit to debtors.</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64" w:right="239" w:bottom="1440" w:gutter="0" w:footer="0" w:header="0"/>
        </w:sectPr>
      </w:pPr>
    </w:p>
    <w:bookmarkStart w:id="535" w:name="page536"/>
    <w:bookmarkEnd w:id="5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Closing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Information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13.8(a)(i)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any date on which a Purchase or a Reinvestment is made pursuant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Termination Date</w:t>
      </w:r>
      <w:r>
        <w:rPr>
          <w:rFonts w:ascii="Times New Roman" w:cs="Times New Roman" w:eastAsia="Times New Roman" w:hAnsi="Times New Roman"/>
          <w:sz w:val="18"/>
          <w:szCs w:val="18"/>
          <w:color w:val="auto"/>
        </w:rPr>
        <w:t>” means the earliest of (a) the latest Commitment Termination Date of any Committed Purchasers, (b) sixty (60) days following the date of receipt by each of the other parties to this Agreement of a written notice of termination provided by Seller and (c) that day on which an Event of Default has occurred and has not been waived in accordance with the terms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each Conduit Purchaser and Committed Purchaser,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Agents</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Total Commitment</w:t>
      </w:r>
      <w:r>
        <w:rPr>
          <w:rFonts w:ascii="Times New Roman" w:cs="Times New Roman" w:eastAsia="Times New Roman" w:hAnsi="Times New Roman"/>
          <w:sz w:val="18"/>
          <w:szCs w:val="18"/>
          <w:color w:val="auto"/>
        </w:rPr>
        <w:t>” means $400,000,000, as such amount may be increased from time to time, upon request by the Seller, with the prior written consent of each increasing Purchaser Agent and the Agent in their sole and absolute discretion, and as such amount shall be decreased following the decrease in the Commitment of any Committed Purchaser; provided that, the “Purchasers’ Total Commitment” shall not exceed $500,000,000; provided further that, the Purchasers’ Total Commitment amount shall be adjusted so that it at all times equals the sum of the Commitments of each Committed Purchaser party hereto.</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Total Investment</w:t>
      </w:r>
      <w:r>
        <w:rPr>
          <w:rFonts w:ascii="Times New Roman" w:cs="Times New Roman" w:eastAsia="Times New Roman" w:hAnsi="Times New Roman"/>
          <w:sz w:val="18"/>
          <w:szCs w:val="18"/>
          <w:color w:val="auto"/>
        </w:rPr>
        <w:t>” means the aggregate of each Committed Purchaser’s Total Investment.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 Tranche Investment</w:t>
      </w:r>
      <w:r>
        <w:rPr>
          <w:rFonts w:ascii="Times New Roman" w:cs="Times New Roman" w:eastAsia="Times New Roman" w:hAnsi="Times New Roman"/>
          <w:sz w:val="18"/>
          <w:szCs w:val="18"/>
          <w:color w:val="auto"/>
        </w:rPr>
        <w:t xml:space="preserve">” means in relation to any Rate Tranche the amount of Purchasers’ Total Investment allocated by any Purchaser Agent to such Rate Tranche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all times the aggregate amounts allocated to all Rate Tranches shall equal Purchasers’ Total Investment.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Ratable Share</w:t>
      </w:r>
      <w:r>
        <w:rPr>
          <w:rFonts w:ascii="Times New Roman" w:cs="Times New Roman" w:eastAsia="Times New Roman" w:hAnsi="Times New Roman"/>
          <w:sz w:val="18"/>
          <w:szCs w:val="18"/>
          <w:color w:val="auto"/>
        </w:rPr>
        <w:t xml:space="preserve">” means, at any time, (a) for each Group, such Group’s Group Limit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aggregate Purchasers’ Total Commitment at such time or, in the event that the aggregate Purchasers’ Total Commitment is zero, the aggregate Investment outstanding with respect to the Purchasers in such Group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Purchasers’ Total Investment and (b) as used in </w:t>
      </w:r>
      <w:r>
        <w:rPr>
          <w:rFonts w:ascii="Times New Roman" w:cs="Times New Roman" w:eastAsia="Times New Roman" w:hAnsi="Times New Roman"/>
          <w:sz w:val="18"/>
          <w:szCs w:val="18"/>
          <w:u w:val="single" w:color="auto"/>
          <w:color w:val="auto"/>
        </w:rPr>
        <w:t>Sections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as to any LOC Group Participant with respect to its obligations to the related LOC Issuer, the Commitment of such LOC Group Participant at such time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the aggregate of the Commitments for all LOC Group Participants in such LOC Group at such time.</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4" w:right="239" w:bottom="1440" w:gutter="0" w:footer="0" w:header="0"/>
        </w:sectPr>
      </w:pPr>
    </w:p>
    <w:bookmarkStart w:id="536" w:name="page537"/>
    <w:bookmarkEnd w:id="5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Tranche</w:t>
      </w:r>
      <w:r>
        <w:rPr>
          <w:rFonts w:ascii="Times New Roman" w:cs="Times New Roman" w:eastAsia="Times New Roman" w:hAnsi="Times New Roman"/>
          <w:sz w:val="18"/>
          <w:szCs w:val="18"/>
          <w:color w:val="auto"/>
        </w:rPr>
        <w:t xml:space="preserve">” means at any time a portion of the Asset Interest selected by any Purchaser Agent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designated as a Rate Tranche solely for purposes of computing Yield.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Event</w:t>
      </w:r>
      <w:r>
        <w:rPr>
          <w:rFonts w:ascii="Times New Roman" w:cs="Times New Roman" w:eastAsia="Times New Roman" w:hAnsi="Times New Roman"/>
          <w:sz w:val="18"/>
          <w:szCs w:val="18"/>
          <w:color w:val="auto"/>
        </w:rPr>
        <w:t xml:space="preserve">” means, at any time of determination, one or more of the following events has occurred and is continuing: (i) Performance Guarantor’s senior unsecured long-term debt rating by S&amp;P is below BBB-, (ii) Performance Guarantor’s senior unsecured long-term debt rating by Moody’s is below Baa3 or (iii) Performance Guarantor does not have a senior unsecured long-term debt ratings by either S&amp;P or Moody’s;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Performance Guarantor shall cease to have a senior unsecured long-term debt rating by S&amp;P or Moody’s and New Mylan shall have a senior unsecured long-term debt rating by S&amp;P or Moody’s, such senior unsecured long-term debt rating of New Mylan shall be substituted for that of Performance Guarantor for purposes of this definition of “Ratings Event”.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w:t>
      </w:r>
      <w:r>
        <w:rPr>
          <w:rFonts w:ascii="Times New Roman" w:cs="Times New Roman" w:eastAsia="Times New Roman" w:hAnsi="Times New Roman"/>
          <w:sz w:val="18"/>
          <w:szCs w:val="18"/>
          <w:color w:val="auto"/>
        </w:rPr>
        <w:t>” means any right to payment from a Person (other than an Affiliate of MPI, Performance Guarantor, Originator or Seller), whether constituting an account, chattel paper, instrument or a general intangible, arising from the sale of goods and/or provision of services by Originator pursuant to a Contract, including the right to payment of any interest, finance charges and other payment obligations of such Person with respect thereto. No lease or payment thereunder shall constitute a Receivable.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Pool</w:t>
      </w:r>
      <w:r>
        <w:rPr>
          <w:rFonts w:ascii="Times New Roman" w:cs="Times New Roman" w:eastAsia="Times New Roman" w:hAnsi="Times New Roman"/>
          <w:sz w:val="18"/>
          <w:szCs w:val="18"/>
          <w:color w:val="auto"/>
        </w:rPr>
        <w:t>” means at any time all then outstanding Receivables sold, purported to be sold or contributed to Seller pursuant to the Sale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means all Contracts and other documents, instruments, books, records, purchase orders, agreements, reports and other information (including computer programs, tapes, disks, other information storage media, data processing software and related property and rights) prepared or maintained by Originator, MPI, Performance Guarantor, Servicer, or Seller, respectively, with respect to, or that evidence or relate to, the Pool Receivables, the Related Assets, any other assets in the Asset Interest or the Obligors of such Pool Receivables.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Change</w:t>
      </w:r>
      <w:r>
        <w:rPr>
          <w:rFonts w:ascii="Times New Roman" w:cs="Times New Roman" w:eastAsia="Times New Roman" w:hAnsi="Times New Roman"/>
          <w:sz w:val="18"/>
          <w:szCs w:val="18"/>
          <w:color w:val="auto"/>
        </w:rPr>
        <w:t>” means, relative to any Affected Party:</w:t>
      </w:r>
    </w:p>
    <w:p>
      <w:pPr>
        <w:spacing w:after="0" w:line="225" w:lineRule="exact"/>
        <w:rPr>
          <w:sz w:val="20"/>
          <w:szCs w:val="20"/>
          <w:color w:val="auto"/>
        </w:rPr>
      </w:pPr>
    </w:p>
    <w:p>
      <w:pPr>
        <w:ind w:left="660" w:right="20" w:firstLine="645"/>
        <w:spacing w:after="0" w:line="282" w:lineRule="auto"/>
        <w:tabs>
          <w:tab w:leader="none" w:pos="1882"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after the date of this Agreement in (or the adoption, implementation, change in phase-in or interpretations or commencement of effectiveness of) any:</w:t>
      </w:r>
    </w:p>
    <w:p>
      <w:pPr>
        <w:spacing w:after="0" w:line="161"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 applicable to such Affected Party;</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48"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regulation, interpretation, directive, requirement or request (whether or not having the force of Law) applicable to such Affected Party of (A) any Governmental Authority charged with the interpretation or administration of any Law referred to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of (B) any fiscal, monetary or other authority having jurisdiction over such Affected Party; or</w:t>
      </w:r>
    </w:p>
    <w:p>
      <w:pPr>
        <w:spacing w:after="0" w:line="176" w:lineRule="exact"/>
        <w:rPr>
          <w:rFonts w:ascii="Times New Roman" w:cs="Times New Roman" w:eastAsia="Times New Roman" w:hAnsi="Times New Roman"/>
          <w:sz w:val="18"/>
          <w:szCs w:val="18"/>
          <w:color w:val="auto"/>
        </w:rPr>
      </w:pPr>
    </w:p>
    <w:p>
      <w:pPr>
        <w:ind w:left="1300" w:firstLine="653"/>
        <w:spacing w:after="0" w:line="282" w:lineRule="auto"/>
        <w:tabs>
          <w:tab w:leader="none" w:pos="2536"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interpretation, guideline, directive or principle from Financial Accounting Standards Board or any other applicable accounting</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4" w:right="239" w:bottom="1440" w:gutter="0" w:footer="0" w:header="0"/>
        </w:sectPr>
      </w:pPr>
    </w:p>
    <w:bookmarkStart w:id="537" w:name="page538"/>
    <w:bookmarkEnd w:id="537"/>
    <w:p>
      <w:pPr>
        <w:ind w:left="1300"/>
        <w:spacing w:after="0"/>
        <w:rPr>
          <w:sz w:val="20"/>
          <w:szCs w:val="20"/>
          <w:color w:val="auto"/>
        </w:rPr>
      </w:pPr>
      <w:r>
        <w:rPr>
          <w:rFonts w:ascii="Times New Roman" w:cs="Times New Roman" w:eastAsia="Times New Roman" w:hAnsi="Times New Roman"/>
          <w:sz w:val="18"/>
          <w:szCs w:val="18"/>
          <w:color w:val="auto"/>
        </w:rPr>
        <w:t>authority, or any central bank or other Governmental Authority (whether or not having the force of law); or</w:t>
      </w:r>
    </w:p>
    <w:p>
      <w:pPr>
        <w:spacing w:after="0" w:line="225" w:lineRule="exact"/>
        <w:rPr>
          <w:sz w:val="20"/>
          <w:szCs w:val="20"/>
          <w:color w:val="auto"/>
        </w:rPr>
      </w:pPr>
    </w:p>
    <w:p>
      <w:pPr>
        <w:ind w:left="660" w:right="20" w:firstLine="645"/>
        <w:spacing w:after="0" w:line="282" w:lineRule="auto"/>
        <w:tabs>
          <w:tab w:leader="none" w:pos="172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application to, or implementation by, such Affected Party of any existing Law, regulation, interpretation, directive, requirement, request or accounting principles referred to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Obligation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Assets</w:t>
      </w:r>
      <w:r>
        <w:rPr>
          <w:rFonts w:ascii="Times New Roman" w:cs="Times New Roman" w:eastAsia="Times New Roman" w:hAnsi="Times New Roman"/>
          <w:sz w:val="18"/>
          <w:szCs w:val="18"/>
          <w:color w:val="auto"/>
        </w:rPr>
        <w:t>” means (a) all rights to, but not any obligations under, all Related Security with respect to the Pool Receivables, (b) all Records,</w:t>
      </w:r>
    </w:p>
    <w:p>
      <w:pPr>
        <w:spacing w:after="0" w:line="27" w:lineRule="exact"/>
        <w:rPr>
          <w:sz w:val="20"/>
          <w:szCs w:val="20"/>
          <w:color w:val="auto"/>
        </w:rPr>
      </w:pPr>
    </w:p>
    <w:p>
      <w:pPr>
        <w:jc w:val="both"/>
        <w:ind w:firstLine="8"/>
        <w:spacing w:after="0" w:line="253" w:lineRule="auto"/>
        <w:tabs>
          <w:tab w:leader="none" w:pos="25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Collections in respect of, and other proceeds of, the Pool Receivables or any other Related Security, (d) all lock-box accounts (and related lock-boxes, if any) related to the Pool Receivables and all amounts, instruments or other items from time to time on deposit therein, (e) all rights and remedies of Seller or Originator, as applicable, under the Sale Agreement, each lock-box agreement related to the lock-box accounts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(including the Lock-Box Agreements) and the other Transaction Documents and any other rights or assets pledged, sold or otherwise transferred to Seller thereunder, and (f) all the products and proceeds of any of the foregoing.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Security</w:t>
      </w:r>
      <w:r>
        <w:rPr>
          <w:rFonts w:ascii="Times New Roman" w:cs="Times New Roman" w:eastAsia="Times New Roman" w:hAnsi="Times New Roman"/>
          <w:sz w:val="18"/>
          <w:szCs w:val="18"/>
          <w:color w:val="auto"/>
        </w:rPr>
        <w:t>” means, with respect to any Pool Receivable: (a) all of Seller’s or Originator’s, as applicable, right, title and interest in, to and under all Contracts that relate to such Pool Receivable; (b) all of Seller’s or Originator’s, as applicable, interest in the merchandise and goods (including returned merchandise and goods), if any, relating to the sale which gave rise to such Pool Receivable and in any and all insurance related thereto; (c) all other security interests or liens, mortgages and property subject thereto from time to time purporting to secure payment of such Pool Receivable, whether pursuant to the Contract related to such Pool Receivable or otherwise; (d) all UCC financing statements covering any collateral securing payment of such Pool Receivable (but only to the extent of the interest of Agent on behalf of Purchasers and the other Secured Parties in the respective Pool Receivable); (e) all guaranties and other agreements or arrangements of whatever character from time to time supporting or securing payment of such Pool Receivable (including insurance policies or other similar arrangements) whether pursuant to the Contract related to such Pool Receivable or otherwise; and (f) all the proceeds of any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 Agents</w:t>
      </w:r>
      <w:r>
        <w:rPr>
          <w:rFonts w:ascii="Times New Roman" w:cs="Times New Roman" w:eastAsia="Times New Roman" w:hAnsi="Times New Roman"/>
          <w:sz w:val="18"/>
          <w:szCs w:val="18"/>
          <w:color w:val="auto"/>
        </w:rPr>
        <w:t xml:space="preserve">” means, at any time, Purchaser Agents whose related Committed Purchaser have Commitments aggregate more than 50% of the aggregate of the Commitments of all Purchasers or, with respect to any Exiting Purchaser, based on such Purchaser’s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are three or fewer Committed Purchasers party hereto, “Required Purchaser Agents” shall mean all of the Purchaser Agents.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Purchasers</w:t>
      </w:r>
      <w:r>
        <w:rPr>
          <w:rFonts w:ascii="Times New Roman" w:cs="Times New Roman" w:eastAsia="Times New Roman" w:hAnsi="Times New Roman"/>
          <w:sz w:val="18"/>
          <w:szCs w:val="18"/>
          <w:color w:val="auto"/>
        </w:rPr>
        <w:t xml:space="preserve">” means, at any time, Committed Purchasers whose Commitments aggregate more than 50% of the aggregate of the Commitments of all Purchasers or, with respect to any Exiting Purchaser, based on such Purchaser’s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4" w:right="23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color w:val="auto"/>
        </w:rPr>
        <w:t>are three or fewer Committed Purchasers party hereto, “Required Purchasers” shall mean all of the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Reserve Percentage</w:t>
      </w:r>
      <w:r>
        <w:rPr>
          <w:rFonts w:ascii="Times New Roman" w:cs="Times New Roman" w:eastAsia="Times New Roman" w:hAnsi="Times New Roman"/>
          <w:sz w:val="18"/>
          <w:szCs w:val="18"/>
          <w:color w:val="auto"/>
        </w:rPr>
        <w:t>” means, on any day, the higher of:</w:t>
      </w:r>
    </w:p>
    <w:p>
      <w:pPr>
        <w:spacing w:after="0" w:line="225" w:lineRule="exact"/>
        <w:rPr>
          <w:sz w:val="20"/>
          <w:szCs w:val="20"/>
          <w:color w:val="auto"/>
        </w:rPr>
      </w:pPr>
    </w:p>
    <w:p>
      <w:pPr>
        <w:ind w:left="1680" w:hanging="375"/>
        <w:spacing w:after="0"/>
        <w:tabs>
          <w:tab w:leader="none" w:pos="168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the Loss Reserve Floor Percentage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Dilution Reserve Floor Percentage on such day; and</w:t>
      </w:r>
    </w:p>
    <w:p>
      <w:pPr>
        <w:spacing w:after="0" w:line="225" w:lineRule="exact"/>
        <w:rPr>
          <w:rFonts w:ascii="Times New Roman" w:cs="Times New Roman" w:eastAsia="Times New Roman" w:hAnsi="Times New Roman"/>
          <w:sz w:val="18"/>
          <w:szCs w:val="18"/>
          <w:color w:val="auto"/>
        </w:rPr>
      </w:pPr>
    </w:p>
    <w:p>
      <w:pPr>
        <w:ind w:left="660" w:right="380" w:firstLine="645"/>
        <w:spacing w:after="0" w:line="501" w:lineRule="auto"/>
        <w:tabs>
          <w:tab w:leader="none" w:pos="169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(i) the Dynamic Loss Reserve Percentage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Dynamic Dilution Reserve Percentage on such day. “</w:t>
      </w:r>
      <w:r>
        <w:rPr>
          <w:rFonts w:ascii="Times New Roman" w:cs="Times New Roman" w:eastAsia="Times New Roman" w:hAnsi="Times New Roman"/>
          <w:sz w:val="18"/>
          <w:szCs w:val="18"/>
          <w:u w:val="single" w:color="auto"/>
          <w:color w:val="auto"/>
        </w:rPr>
        <w:t>Required Reserves</w:t>
      </w:r>
      <w:r>
        <w:rPr>
          <w:rFonts w:ascii="Times New Roman" w:cs="Times New Roman" w:eastAsia="Times New Roman" w:hAnsi="Times New Roman"/>
          <w:sz w:val="18"/>
          <w:szCs w:val="18"/>
          <w:color w:val="auto"/>
        </w:rPr>
        <w:t>” means, on any day, an amount determined as follows:</w:t>
      </w: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tcPr>
          <w:p>
            <w:pPr>
              <w:ind w:left="2760"/>
              <w:spacing w:after="0"/>
              <w:rPr>
                <w:sz w:val="20"/>
                <w:szCs w:val="20"/>
                <w:color w:val="auto"/>
              </w:rPr>
            </w:pPr>
            <w:r>
              <w:rPr>
                <w:rFonts w:ascii="Times New Roman" w:cs="Times New Roman" w:eastAsia="Times New Roman" w:hAnsi="Times New Roman"/>
                <w:sz w:val="18"/>
                <w:szCs w:val="18"/>
                <w:color w:val="auto"/>
                <w:w w:val="99"/>
              </w:rPr>
              <w:t>(RRP x NPB) + YSFR</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RRP</w:t>
            </w:r>
          </w:p>
        </w:tc>
        <w:tc>
          <w:tcPr>
            <w:tcW w:w="140" w:type="dxa"/>
            <w:vAlign w:val="bottom"/>
          </w:tcPr>
          <w:p>
            <w:pPr>
              <w:spacing w:after="0"/>
              <w:rPr>
                <w:sz w:val="24"/>
                <w:szCs w:val="24"/>
                <w:color w:val="auto"/>
              </w:rPr>
            </w:pPr>
          </w:p>
        </w:tc>
        <w:tc>
          <w:tcPr>
            <w:tcW w:w="4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Required Reserve Percentage on such day;</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NPB</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Net Pool Balance on such day;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YSFR</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Yield and Servicing Fee Reserve on such day.</w:t>
            </w: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Services, a division of The McGraw-Hill Companies, Inc.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Agreement</w:t>
      </w:r>
      <w:r>
        <w:rPr>
          <w:rFonts w:ascii="Times New Roman" w:cs="Times New Roman" w:eastAsia="Times New Roman" w:hAnsi="Times New Roman"/>
          <w:sz w:val="18"/>
          <w:szCs w:val="18"/>
          <w:color w:val="auto"/>
        </w:rPr>
        <w:t>” means the Amended and Restated Purchase and Contribution Agreement, dated as of the date hereof, between Originator, as originator and servicer, and Seller, as buyer, as may be further amended, restated, modified or otherwise supplemented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or territory that is, or whose government is, the subject of territorial-based Sanctions.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Person that is, or is owned or controlled by Persons that are: (i) the subject of any Sanctions or (ii) located, organized or resident in a Sanctioned Country.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sanctions administered or enforced by the U.S. Department of Treasury’s Office of Foreign Assets Control,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State, the United Nations Security Council, the European Union, Her Majesty’s Treasury, or other relevant sanctions authority.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Purchasers, Purchaser Agents, Agent, the Indemnified Parties and the Affected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is defined in Section 2(a)(1) of the Securities Act.</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sectPr>
      </w:pPr>
    </w:p>
    <w:bookmarkStart w:id="539" w:name="page540"/>
    <w:bookmarkEnd w:id="5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Separateness Agreement</w:t>
      </w:r>
      <w:r>
        <w:rPr>
          <w:rFonts w:ascii="Times New Roman" w:cs="Times New Roman" w:eastAsia="Times New Roman" w:hAnsi="Times New Roman"/>
          <w:sz w:val="18"/>
          <w:szCs w:val="18"/>
          <w:color w:val="auto"/>
        </w:rPr>
        <w:t>” has the meaning set forth in the definition of “Ownership Change Conditions”.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and shall include and be deemed to be, as the context requires, a reference to any Person acting as a subservicer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xml:space="preserve">” means the fee payable to cover the cost of servicing the Receivables for each Settlement Period, which is equal, for each day of such Settlement Period to, (a) if Servicer is MPI or an Affiliate of MPI, an annual rate of 1.00% of the aggregate Net Pool Balance as of the Cut-Off Date of such Settlement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1/360 and (b) if Servicer is not MPI or an Affiliate of MPI, 110% of the actual per annum costs incurred by the successor Servicer designated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for its servicing during such Settlement Period,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1/360, in either case, payable in arrears.</w:t>
      </w:r>
    </w:p>
    <w:p>
      <w:pPr>
        <w:spacing w:after="0" w:line="18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with respect to any Settlement Period, the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each month (or if such day is not a Business Day, the next occurring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last Settlement Date shall be the last day of the last Settlement Period (or if such day is not a Business Day, the next occurring Business Day).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Period</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040" w:hanging="384"/>
        <w:spacing w:after="0"/>
        <w:tabs>
          <w:tab w:leader="none" w:pos="104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from the Closing Date to the end of the calendar month in which the Closing Date occurs; and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each subsequent calendar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last Settlement Period shall end on the Final Payout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Side Letter</w:t>
      </w:r>
      <w:r>
        <w:rPr>
          <w:rFonts w:ascii="Times New Roman" w:cs="Times New Roman" w:eastAsia="Times New Roman" w:hAnsi="Times New Roman"/>
          <w:sz w:val="18"/>
          <w:szCs w:val="18"/>
          <w:color w:val="auto"/>
        </w:rPr>
        <w:t xml:space="preserve">” means a letter agreement among Seller, the Servicer, the Agent, each Purchaser, each Purchaser Agent and each LOC Issuer, in substantially the form of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Transaction</w:t>
      </w:r>
      <w:r>
        <w:rPr>
          <w:rFonts w:ascii="Times New Roman" w:cs="Times New Roman" w:eastAsia="Times New Roman" w:hAnsi="Times New Roman"/>
          <w:sz w:val="18"/>
          <w:szCs w:val="18"/>
          <w:color w:val="auto"/>
        </w:rPr>
        <w:t>” means the proposed acquisition by Performance Guarantor of certain of the assets of Abbott Laboratories pursuant to the Amended and Restated Business Transfer Agreement and Plan of Merger, dated as of November 4, 2014, among Abbott Laboratories, Performance Guarantor, New Mylan and Moon of PA Inc. and the consummation of each merger and inversion transaction contemplated therein, in accordance with such agreement and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Concentration Percentage</w:t>
      </w:r>
      <w:r>
        <w:rPr>
          <w:rFonts w:ascii="Times New Roman" w:cs="Times New Roman" w:eastAsia="Times New Roman" w:hAnsi="Times New Roman"/>
          <w:sz w:val="18"/>
          <w:szCs w:val="18"/>
          <w:color w:val="auto"/>
        </w:rPr>
        <w:t xml:space="preserve">” means, with respect to any Obligor, the greater of (a) the percentage, if any, determined by the Agent and each Purchaser Agent in their sole discretion with respect to such Obligor by written notice to the Seller and the Servicer; it being understood and agreed that the Agent or any Purchaser Agent, in its sole discretion, may reduce any such percentage described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with respect to any Obligor at any time in its sole discretion by written notice to the Seller and the Servicer, except that, a Specified Concentration Percentage of (i) 32.0% shall apply to all Receivables the Obligor of which is Cardinal Health, Inc., so long as Cardinal Health, Inc.’s S&amp;P short-term debt rating is A-2 or higher and Cardinal</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4" w:right="239" w:bottom="1440" w:gutter="0" w:footer="0" w:header="0"/>
        </w:sectPr>
      </w:pPr>
    </w:p>
    <w:bookmarkStart w:id="540" w:name="page541"/>
    <w:bookmarkEnd w:id="54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Health, Inc.’s Moody’s short-term debt rating is P-2 or higher, otherwise, the percentage appearing opposite such Obligor’s short-term unsecured debt ratings on the table below shall apply to all Receivables of such Obligor, (ii) 32.0% shall apply to all Receivables the Obligor of which is McKesson Corporation, so long as McKesson Corporation’s S&amp;P short-term debt rating is A-2 or higher and McKesson Corporation’s Moody’s short-term debt rating is P-2 or higher, otherwise, the percentage appearing opposite such Obligor’s short-term unsecured debt ratings on the table below shall apply to all Receivables of such Obligor and (iii) 32.0% shall apply to all Receivables the Obligor of which is AmerisourceBergen Corporation, so long as AmerisourceBergen Corporation’s S&amp;P short-term debt rating is A-2 or higher and AmerisourceBergen Corporation’s Moody’s short-term debt rating is P-2 or higher, otherwise, the percentage appearing opposite such Obligor’s short-term unsecured debt ratings on the table below shall apply to all Receivables of such Obligor, and (b) other than with respect to any Specified Concentration Percentage for any Obligor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percentage appearing opposite such Obligor’s short-term unsecured debt ratings on the table below:</w:t>
      </w:r>
    </w:p>
    <w:p>
      <w:pPr>
        <w:spacing w:after="0" w:line="338" w:lineRule="exact"/>
        <w:rPr>
          <w:sz w:val="20"/>
          <w:szCs w:val="20"/>
          <w:color w:val="auto"/>
        </w:rPr>
      </w:pPr>
    </w:p>
    <w:tbl>
      <w:tblPr>
        <w:tblLayout w:type="fixed"/>
        <w:tblInd w:w="300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S&amp;P/Moody’s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S&amp;P/Moody’s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Specified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Short-Term Rating</w:t>
            </w:r>
          </w:p>
        </w:tc>
        <w:tc>
          <w:tcPr>
            <w:tcW w:w="320" w:type="dxa"/>
            <w:vAlign w:val="bottom"/>
          </w:tcPr>
          <w:p>
            <w:pPr>
              <w:spacing w:after="0"/>
              <w:rPr>
                <w:sz w:val="17"/>
                <w:szCs w:val="17"/>
                <w:color w:val="auto"/>
              </w:rPr>
            </w:pPr>
          </w:p>
        </w:tc>
        <w:tc>
          <w:tcPr>
            <w:tcW w:w="1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Long-Term Rating</w:t>
            </w:r>
          </w:p>
        </w:tc>
        <w:tc>
          <w:tcPr>
            <w:tcW w:w="420" w:type="dxa"/>
            <w:vAlign w:val="bottom"/>
          </w:tcPr>
          <w:p>
            <w:pPr>
              <w:spacing w:after="0"/>
              <w:rPr>
                <w:sz w:val="17"/>
                <w:szCs w:val="17"/>
                <w:color w:val="auto"/>
              </w:rPr>
            </w:pPr>
          </w:p>
        </w:tc>
        <w:tc>
          <w:tcPr>
            <w:tcW w:w="184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Concentration Percentage</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4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400" w:type="dxa"/>
            <w:vAlign w:val="bottom"/>
            <w:gridSpan w:val="2"/>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640" w:type="dxa"/>
            <w:vAlign w:val="bottom"/>
          </w:tcPr>
          <w:p>
            <w:pPr>
              <w:spacing w:after="0"/>
              <w:rPr>
                <w:sz w:val="23"/>
                <w:szCs w:val="23"/>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A+/A1</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or</w:t>
            </w:r>
          </w:p>
        </w:tc>
        <w:tc>
          <w:tcPr>
            <w:tcW w:w="1260" w:type="dxa"/>
            <w:vAlign w:val="bottom"/>
            <w:gridSpan w:val="2"/>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higher/P-1</w:t>
            </w:r>
          </w:p>
        </w:tc>
        <w:tc>
          <w:tcPr>
            <w:tcW w:w="320" w:type="dxa"/>
            <w:vAlign w:val="bottom"/>
          </w:tcPr>
          <w:p>
            <w:pPr>
              <w:spacing w:after="0"/>
              <w:rPr>
                <w:sz w:val="10"/>
                <w:szCs w:val="10"/>
                <w:color w:val="auto"/>
              </w:rPr>
            </w:pPr>
          </w:p>
        </w:tc>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higher</w:t>
            </w:r>
          </w:p>
        </w:tc>
        <w:tc>
          <w:tcPr>
            <w:tcW w:w="42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A-2/P-2</w:t>
            </w:r>
          </w:p>
        </w:tc>
        <w:tc>
          <w:tcPr>
            <w:tcW w:w="320" w:type="dxa"/>
            <w:vAlign w:val="bottom"/>
          </w:tcPr>
          <w:p>
            <w:pPr>
              <w:spacing w:after="0"/>
              <w:rPr>
                <w:sz w:val="23"/>
                <w:szCs w:val="23"/>
                <w:color w:val="auto"/>
              </w:rPr>
            </w:pPr>
          </w:p>
        </w:tc>
        <w:tc>
          <w:tcPr>
            <w:tcW w:w="18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BBB+/Baa1</w:t>
            </w:r>
          </w:p>
        </w:tc>
        <w:tc>
          <w:tcPr>
            <w:tcW w:w="420" w:type="dxa"/>
            <w:vAlign w:val="bottom"/>
          </w:tcPr>
          <w:p>
            <w:pPr>
              <w:spacing w:after="0"/>
              <w:rPr>
                <w:sz w:val="23"/>
                <w:szCs w:val="23"/>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A-3/P-3</w:t>
            </w:r>
          </w:p>
        </w:tc>
        <w:tc>
          <w:tcPr>
            <w:tcW w:w="320" w:type="dxa"/>
            <w:vAlign w:val="bottom"/>
          </w:tcPr>
          <w:p>
            <w:pPr>
              <w:spacing w:after="0"/>
              <w:rPr>
                <w:sz w:val="23"/>
                <w:szCs w:val="23"/>
                <w:color w:val="auto"/>
              </w:rPr>
            </w:pPr>
          </w:p>
        </w:tc>
        <w:tc>
          <w:tcPr>
            <w:tcW w:w="18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BBB-/Baa3</w:t>
            </w:r>
          </w:p>
        </w:tc>
        <w:tc>
          <w:tcPr>
            <w:tcW w:w="420" w:type="dxa"/>
            <w:vAlign w:val="bottom"/>
          </w:tcPr>
          <w:p>
            <w:pPr>
              <w:spacing w:after="0"/>
              <w:rPr>
                <w:sz w:val="23"/>
                <w:szCs w:val="23"/>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5"/>
              </w:rPr>
              <w:t>8.0%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A-3/P-</w:t>
            </w:r>
          </w:p>
        </w:tc>
        <w:tc>
          <w:tcPr>
            <w:tcW w:w="320" w:type="dxa"/>
            <w:vAlign w:val="bottom"/>
          </w:tcPr>
          <w:p>
            <w:pPr>
              <w:spacing w:after="0"/>
              <w:rPr>
                <w:sz w:val="21"/>
                <w:szCs w:val="21"/>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Below BBB-</w:t>
            </w:r>
          </w:p>
        </w:tc>
        <w:tc>
          <w:tcPr>
            <w:tcW w:w="420" w:type="dxa"/>
            <w:vAlign w:val="bottom"/>
          </w:tcPr>
          <w:p>
            <w:pPr>
              <w:spacing w:after="0"/>
              <w:rPr>
                <w:sz w:val="21"/>
                <w:szCs w:val="21"/>
                <w:color w:val="auto"/>
              </w:rPr>
            </w:pPr>
          </w:p>
        </w:tc>
        <w:tc>
          <w:tcPr>
            <w:tcW w:w="1260" w:type="dxa"/>
            <w:vAlign w:val="bottom"/>
            <w:gridSpan w:val="2"/>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w w:val="95"/>
              </w:rPr>
              <w:t>3.0%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3 or Not Rated</w:t>
            </w:r>
          </w:p>
        </w:tc>
        <w:tc>
          <w:tcPr>
            <w:tcW w:w="320" w:type="dxa"/>
            <w:vAlign w:val="bottom"/>
          </w:tcPr>
          <w:p>
            <w:pPr>
              <w:spacing w:after="0"/>
              <w:rPr>
                <w:sz w:val="10"/>
                <w:szCs w:val="10"/>
                <w:color w:val="auto"/>
              </w:rPr>
            </w:pPr>
          </w:p>
        </w:tc>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/Baa3 or Not Rated</w:t>
            </w:r>
          </w:p>
        </w:tc>
        <w:tc>
          <w:tcPr>
            <w:tcW w:w="4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next sentence, if the short-term unsecured debt rating established by Moody’s or S&amp;P for an Obligor shall fall one or more rating category gradation below the other rating agency’s comparable gradation (or has been withdrawn), the lower of the two ratings shall apply. If either Moody’s or S&amp;P does not maintain (and has not withdrawn) a short-term unsecured senior debt rating of an Obligor, the Concentration Limit for such Obligor shall be determined in accordance with the table above based upon the long-term unsecured debt rating established by Moody’s or S&amp;P but if the long-term unsecured debt rating established by Moody’s or S&amp;P for an Obligor shall fall one or more rating category gradation below the other rating agency’s comparable gradation (or has been withdrawn), the lower of the two ratings shall apply. If an Obligor is not rated by either Moody’s or S&amp;P it shall be considered unrated.</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Regulation</w:t>
      </w:r>
      <w:r>
        <w:rPr>
          <w:rFonts w:ascii="Times New Roman" w:cs="Times New Roman" w:eastAsia="Times New Roman" w:hAnsi="Times New Roman"/>
          <w:sz w:val="18"/>
          <w:szCs w:val="18"/>
          <w:color w:val="auto"/>
        </w:rPr>
        <w:t xml:space="preserve">” means (A) the final rule titled </w:t>
      </w:r>
      <w:r>
        <w:rPr>
          <w:rFonts w:ascii="Times New Roman" w:cs="Times New Roman" w:eastAsia="Times New Roman" w:hAnsi="Times New Roman"/>
          <w:sz w:val="18"/>
          <w:szCs w:val="18"/>
          <w:i w:val="1"/>
          <w:iCs w:val="1"/>
          <w:color w:val="auto"/>
        </w:rPr>
        <w:t>Risk-Based Capital Guidelines; Capital Adequacy Guidelines; Capital Maintenance: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Capital; Impact of Modifications to Generally Accepted Accounting Principles; Consolidation of Asset-Backed Commercial Paper Programs; and Other Related Issues</w:t>
      </w:r>
      <w:r>
        <w:rPr>
          <w:rFonts w:ascii="Times New Roman" w:cs="Times New Roman" w:eastAsia="Times New Roman" w:hAnsi="Times New Roman"/>
          <w:sz w:val="18"/>
          <w:szCs w:val="18"/>
          <w:color w:val="auto"/>
        </w:rPr>
        <w:t>, adopted by the United States bank regulatory agencies on December 15, 2009 (the “</w:t>
      </w:r>
      <w:r>
        <w:rPr>
          <w:rFonts w:ascii="Times New Roman" w:cs="Times New Roman" w:eastAsia="Times New Roman" w:hAnsi="Times New Roman"/>
          <w:sz w:val="18"/>
          <w:szCs w:val="18"/>
          <w:u w:val="single" w:color="auto"/>
          <w:color w:val="auto"/>
        </w:rPr>
        <w:t>FAS 166/167 Capital Guidelines</w:t>
      </w:r>
      <w:r>
        <w:rPr>
          <w:rFonts w:ascii="Times New Roman" w:cs="Times New Roman" w:eastAsia="Times New Roman" w:hAnsi="Times New Roman"/>
          <w:sz w:val="18"/>
          <w:szCs w:val="18"/>
          <w:color w:val="auto"/>
        </w:rPr>
        <w:t>”), (B) the Dodd-Frank Wall Street Reform and Consumer Protection Act (the “</w:t>
      </w:r>
      <w:r>
        <w:rPr>
          <w:rFonts w:ascii="Times New Roman" w:cs="Times New Roman" w:eastAsia="Times New Roman" w:hAnsi="Times New Roman"/>
          <w:sz w:val="18"/>
          <w:szCs w:val="18"/>
          <w:u w:val="single" w:color="auto"/>
          <w:color w:val="auto"/>
        </w:rPr>
        <w:t>Dodd-Frank Act</w:t>
      </w:r>
      <w:r>
        <w:rPr>
          <w:rFonts w:ascii="Times New Roman" w:cs="Times New Roman" w:eastAsia="Times New Roman" w:hAnsi="Times New Roman"/>
          <w:sz w:val="18"/>
          <w:szCs w:val="18"/>
          <w:color w:val="auto"/>
        </w:rPr>
        <w:t>”), (C) the BASEL Accord, or (D) any existing or future rules, regulations, guidance, interpretations or</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4" w:right="239" w:bottom="1440" w:gutter="0" w:footer="0" w:header="0"/>
        </w:sectPr>
      </w:pPr>
    </w:p>
    <w:bookmarkStart w:id="541" w:name="page542"/>
    <w:bookmarkEnd w:id="5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directives from any Governmental Authority relating to Accounting Standards Codification 860-10-40-5(a), the FAS 166/167 Capital Guidelines, the Dodd-Frank Act or the BASEL Accord (whether or not having the force of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Amount</w:t>
      </w:r>
      <w:r>
        <w:rPr>
          <w:rFonts w:ascii="Times New Roman" w:cs="Times New Roman" w:eastAsia="Times New Roman" w:hAnsi="Times New Roman"/>
          <w:sz w:val="18"/>
          <w:szCs w:val="18"/>
          <w:color w:val="auto"/>
        </w:rPr>
        <w:t>” means, with respect to any Letter of Credit at any point in time, the maximum amount that may be drawn thereunder in accordance with its terms at such point.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Receivables</w:t>
      </w:r>
      <w:r>
        <w:rPr>
          <w:rFonts w:ascii="Times New Roman" w:cs="Times New Roman" w:eastAsia="Times New Roman" w:hAnsi="Times New Roman"/>
          <w:sz w:val="18"/>
          <w:szCs w:val="18"/>
          <w:color w:val="auto"/>
        </w:rPr>
        <w:t>” shall mean the outstanding Receivables, the Obligor of which is that certain Obligor previously identified as the “Subject Obligor” in a writing delivered by Servicer and Seller to Agent on or about October 30, 2014.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corporation or other entity of which Mylan Inc. and/or its other direct or indirect Subsidiaries own, directly or indirectly, such number of outstanding shares or other ownership or control interest as have more than 50% of the ordinary voting power for the election of directors or managers, as the case may be.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 Receivable</w:t>
      </w:r>
      <w:r>
        <w:rPr>
          <w:rFonts w:ascii="Times New Roman" w:cs="Times New Roman" w:eastAsia="Times New Roman" w:hAnsi="Times New Roman"/>
          <w:sz w:val="18"/>
          <w:szCs w:val="18"/>
          <w:color w:val="auto"/>
        </w:rPr>
        <w:t>” means any Pool Receivable the Obligor of which is a material supplier to Originator or any of their respective Affiliates.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Performance Guarantor or its Subsidiaries shall be a Swap Agreement.</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income, gross receipts, rental, franchise, excise, occupational, capital, value added, sales, use, ad valorem (real and personal), property (real and personal) and excise taxes, fees, levies, imposts, charges or withholdings of any nature whatsoever, together with any assessments, penalties, fines, additions to tax and interest thereon, howsoever imposed (whether imposed upon any Indemnified Party, all or any part of the Related Security or otherwise), by any Governmental Authority or other taxing authority in the United States or by any foreign government, foreign governmental subdivision or other foreign or international taxing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Investment</w:t>
      </w:r>
      <w:r>
        <w:rPr>
          <w:rFonts w:ascii="Times New Roman" w:cs="Times New Roman" w:eastAsia="Times New Roman" w:hAnsi="Times New Roman"/>
          <w:sz w:val="18"/>
          <w:szCs w:val="18"/>
          <w:color w:val="auto"/>
        </w:rPr>
        <w:t xml:space="preserve">” means in relation to any Rate Tranche the amount of each Purchaser’s Investment allocated by Agent to such Rate Tranche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all times the aggregate amounts allocated to all Rate Tranches shall equal Purchasers’ Total Investment.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Payoff Letter, each Side Letter, the Sale Agreement, the Performance Guaranty, the Fee Letter, the Lock-Box Agreements, each Letter of Credit, each Separateness Agreement, each Ownership Change Agreement, each Letter of Credit Application and all other documents, agreements and certificates to be executed and</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4" w:right="239" w:bottom="1440" w:gutter="0" w:footer="0" w:header="0"/>
        </w:sectPr>
      </w:pPr>
    </w:p>
    <w:bookmarkStart w:id="542" w:name="page543"/>
    <w:bookmarkEnd w:id="542"/>
    <w:p>
      <w:pPr>
        <w:jc w:val="both"/>
        <w:spacing w:after="0" w:line="282" w:lineRule="auto"/>
        <w:rPr>
          <w:sz w:val="20"/>
          <w:szCs w:val="20"/>
          <w:color w:val="auto"/>
        </w:rPr>
      </w:pPr>
      <w:r>
        <w:rPr>
          <w:rFonts w:ascii="Times New Roman" w:cs="Times New Roman" w:eastAsia="Times New Roman" w:hAnsi="Times New Roman"/>
          <w:sz w:val="18"/>
          <w:szCs w:val="18"/>
          <w:color w:val="auto"/>
        </w:rPr>
        <w:t>delivered by the Performance Guarantor, Originator, Servicer or Seller in connection herewith or in connection with any of the foregoing (excluding any Liquidity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in respect of each state in the United States of America, the Uniform Commercial Code as from time to time in effect in such state.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Undrawn Letter of Credit</w:t>
      </w:r>
      <w:r>
        <w:rPr>
          <w:rFonts w:ascii="Times New Roman" w:cs="Times New Roman" w:eastAsia="Times New Roman" w:hAnsi="Times New Roman"/>
          <w:sz w:val="18"/>
          <w:szCs w:val="18"/>
          <w:color w:val="auto"/>
        </w:rPr>
        <w:t>” means any Letter of Credit that has been issued, but remains undrawn.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Undrawn Letter of Credit Fee</w:t>
      </w:r>
      <w:r>
        <w:rPr>
          <w:rFonts w:ascii="Times New Roman" w:cs="Times New Roman" w:eastAsia="Times New Roman" w:hAnsi="Times New Roman"/>
          <w:sz w:val="18"/>
          <w:szCs w:val="18"/>
          <w:color w:val="auto"/>
        </w:rPr>
        <w:t>” is defined in the Fee Letter.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Unmatched Deductions</w:t>
      </w:r>
      <w:r>
        <w:rPr>
          <w:rFonts w:ascii="Times New Roman" w:cs="Times New Roman" w:eastAsia="Times New Roman" w:hAnsi="Times New Roman"/>
          <w:sz w:val="18"/>
          <w:szCs w:val="18"/>
          <w:color w:val="auto"/>
        </w:rPr>
        <w:t>” means, at any time of determination, the aggregate amount of all open deductions at such time across all Obligors, including (a) valid deductions pending a credit to be issued, (b) invalid deductions pending repayment from the applicable Obligor, (c) residual deductions pending credit/repayment and (d) valid deductions for which a credit has been issued to the applicable Obligor to the extent (i) such credit is not applied to such deduction and (ii) such Obligor has not made repayment in respect of such deduction.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Unmatched Deductions Unaccrued</w:t>
      </w:r>
      <w:r>
        <w:rPr>
          <w:rFonts w:ascii="Times New Roman" w:cs="Times New Roman" w:eastAsia="Times New Roman" w:hAnsi="Times New Roman"/>
          <w:sz w:val="18"/>
          <w:szCs w:val="18"/>
          <w:color w:val="auto"/>
        </w:rPr>
        <w:t xml:space="preserve">” means, at any time of determination, an amount equal to: the aggregate amount of reduction or cancellation of the Unpaid Balance of Pool Receivables requested or otherwise proposed by the related Obligor or any other Person and for which none of the following conditions have been satisfied: (i) such amount has been authorized or otherwise approved by Originator, the Servicer or any of their Affiliates, (ii) Originator, the Servicer or any of their Affiliates has knowledge that such reduction or cancellation is authorized or permitted under the related Contract, applicable Laws or otherwise or (iii) such amount has been rejected or otherwise declined by Originator, the Servicer or any of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unless otherwise agreed to in writing by the Seller, Agent and each of the Purchasers, “Unmatched Deductions Unaccrued” at any time shall be deemed to equal an amount equal to 15% of the Unmatched Deductions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Unmatured Event of Default</w:t>
      </w:r>
      <w:r>
        <w:rPr>
          <w:rFonts w:ascii="Times New Roman" w:cs="Times New Roman" w:eastAsia="Times New Roman" w:hAnsi="Times New Roman"/>
          <w:sz w:val="18"/>
          <w:szCs w:val="18"/>
          <w:color w:val="auto"/>
        </w:rPr>
        <w:t>” means any event which, with the giving of notice or lapse of time, or both, would become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Balance</w:t>
      </w:r>
      <w:r>
        <w:rPr>
          <w:rFonts w:ascii="Times New Roman" w:cs="Times New Roman" w:eastAsia="Times New Roman" w:hAnsi="Times New Roman"/>
          <w:sz w:val="18"/>
          <w:szCs w:val="18"/>
          <w:color w:val="auto"/>
        </w:rPr>
        <w:t xml:space="preserve">” of any Receivable means, at any time, the sum of (a) the unpaid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unpaid amount of all finance charges, interest payments and other amounts actually accrued thereon at such time, but excluding,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all late payment charges, delinquency charges, and extension or collection fees.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means dollars in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Used Margin</w:t>
      </w:r>
      <w:r>
        <w:rPr>
          <w:rFonts w:ascii="Times New Roman" w:cs="Times New Roman" w:eastAsia="Times New Roman" w:hAnsi="Times New Roman"/>
          <w:sz w:val="18"/>
          <w:szCs w:val="18"/>
          <w:color w:val="auto"/>
        </w:rPr>
        <w:t>” has the meaning set forth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Victory</w:t>
      </w:r>
      <w:r>
        <w:rPr>
          <w:rFonts w:ascii="Times New Roman" w:cs="Times New Roman" w:eastAsia="Times New Roman" w:hAnsi="Times New Roman"/>
          <w:sz w:val="18"/>
          <w:szCs w:val="18"/>
          <w:color w:val="auto"/>
        </w:rPr>
        <w:t xml:space="preserve">” is defined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4" w:right="239" w:bottom="1440" w:gutter="0" w:footer="0" w:header="0"/>
        </w:sectPr>
      </w:pPr>
    </w:p>
    <w:bookmarkStart w:id="543" w:name="page544"/>
    <w:bookmarkEnd w:id="543"/>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any Person means the common stock of such Person and any other security of, or ownership interest in, such Person having ordinary voting power to elect a majority of the board of directors (or other Persons serving similar function) of such Person.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w:t>
      </w:r>
      <w:r>
        <w:rPr>
          <w:rFonts w:ascii="Times New Roman" w:cs="Times New Roman" w:eastAsia="Times New Roman" w:hAnsi="Times New Roman"/>
          <w:sz w:val="18"/>
          <w:szCs w:val="18"/>
          <w:color w:val="auto"/>
        </w:rPr>
        <w:t>” means, for any day with respect to any Rate Tranche or any drawn Letter of Credit that has not been reimbursed:</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{(PTI x YR)/360} + LF</w:t>
            </w:r>
          </w:p>
        </w:tc>
      </w:tr>
      <w:tr>
        <w:trPr>
          <w:trHeight w:val="28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9540" w:type="dxa"/>
            <w:vAlign w:val="bottom"/>
          </w:tcPr>
          <w:p>
            <w:pPr>
              <w:spacing w:after="0"/>
              <w:rPr>
                <w:sz w:val="24"/>
                <w:szCs w:val="24"/>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YR</w:t>
            </w:r>
          </w:p>
        </w:tc>
        <w:tc>
          <w:tcPr>
            <w:tcW w:w="140" w:type="dxa"/>
            <w:vAlign w:val="bottom"/>
          </w:tcPr>
          <w:p>
            <w:pPr>
              <w:spacing w:after="0"/>
              <w:rPr>
                <w:sz w:val="24"/>
                <w:szCs w:val="24"/>
                <w:color w:val="auto"/>
              </w:rPr>
            </w:pP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Yield Rate for such Rate Tranche or drawn Letter of Credit, as applicable;</w:t>
            </w:r>
          </w:p>
        </w:tc>
      </w:tr>
      <w:tr>
        <w:trPr>
          <w:trHeight w:val="30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PTI</w:t>
            </w: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Purchaser’s Tranche Investment in such Rate Tranche on such day or the amount of its Investment related to its participation</w:t>
            </w:r>
          </w:p>
        </w:tc>
      </w:t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 respect to such drawn Letter of Credit on such day, as applicable;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LF</w:t>
            </w: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the Liquidation Fee, if any, for such day.</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Period</w:t>
      </w:r>
      <w:r>
        <w:rPr>
          <w:rFonts w:ascii="Times New Roman" w:cs="Times New Roman" w:eastAsia="Times New Roman" w:hAnsi="Times New Roman"/>
          <w:sz w:val="18"/>
          <w:szCs w:val="18"/>
          <w:color w:val="auto"/>
        </w:rPr>
        <w:t>” means (x) with respect to any Rate Tranche funded by a Liquidity Advance, a Committed Purchaser or under an Enhancement Agreement:</w:t>
      </w:r>
    </w:p>
    <w:p>
      <w:pPr>
        <w:spacing w:after="0" w:line="162" w:lineRule="exact"/>
        <w:rPr>
          <w:sz w:val="20"/>
          <w:szCs w:val="20"/>
          <w:color w:val="auto"/>
        </w:rPr>
      </w:pPr>
    </w:p>
    <w:p>
      <w:pPr>
        <w:jc w:val="both"/>
        <w:ind w:left="660" w:firstLine="645"/>
        <w:spacing w:after="0" w:line="266" w:lineRule="auto"/>
        <w:tabs>
          <w:tab w:leader="none" w:pos="175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period commencing on the date of the initial Purchase of the Asset Interest, the making of such Liquidity Advance or funding under such Enhancement Agreement or the creation of such Rate Tranche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(whichever is latest) and ending such number of days thereafter as the applicable Purchaser Agent shall select in its sole discretion; and</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7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period commencing on the last day of the immediately preceding Yield Period for the related Rate Tranche and ending such number of days thereafter as the applicable Purchaser Agent shall select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00" w:lineRule="exact"/>
        <w:rPr>
          <w:sz w:val="20"/>
          <w:szCs w:val="20"/>
          <w:color w:val="auto"/>
        </w:rPr>
      </w:pPr>
    </w:p>
    <w:p>
      <w:pPr>
        <w:spacing w:after="0" w:line="241" w:lineRule="exact"/>
        <w:rPr>
          <w:sz w:val="20"/>
          <w:szCs w:val="20"/>
          <w:color w:val="auto"/>
        </w:rPr>
      </w:pPr>
    </w:p>
    <w:p>
      <w:pPr>
        <w:ind w:left="1300" w:firstLine="653"/>
        <w:spacing w:after="0" w:line="282" w:lineRule="auto"/>
        <w:tabs>
          <w:tab w:leader="none" w:pos="236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Yield Period (other than a Yield Period consisting of one day) which would otherwise end on a day that is not a Business Day shall be extended to the next succeeding Business Day;</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371"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Yield Periods of one day for any Rate Tranche, (A) the initial Yield Period shall be the date such Yield Period commences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(B) any subsequently occurring Yield Period which is one day shall, if the immediately preceding Yield Period is more than one day, be the last day of such immediately preceding Yield Period, and if the immediately preceding Yield Period is one day, shall be the next day following such immediately preceding Yield Period; and</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64" w:right="239" w:bottom="1440" w:gutter="0" w:footer="0" w:header="0"/>
        </w:sectPr>
      </w:pPr>
    </w:p>
    <w:bookmarkStart w:id="544" w:name="page545"/>
    <w:bookmarkEnd w:id="544"/>
    <w:p>
      <w:pPr>
        <w:jc w:val="both"/>
        <w:ind w:left="640" w:firstLine="653"/>
        <w:spacing w:after="0" w:line="261" w:lineRule="auto"/>
        <w:tabs>
          <w:tab w:leader="none" w:pos="1787"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Yield Period for any Rate Tranche which commences before the Purchase Termination Date and would otherwise end on a date occurring after such Purchase Termination Date, such Yield Period shall end on such Purchase Termination Date and the duration of each such Yield Period which commences on or after the Purchase Termination Date for such Rate Tranche shall be of such duration as shall be selected by the applicable Purchaser Agent; and</w:t>
      </w:r>
    </w:p>
    <w:p>
      <w:pPr>
        <w:spacing w:after="0" w:line="180"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Rate Tranche that is funded or maintained through the issuance of Commercial Paper Notes, each Settlement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Rate</w:t>
      </w:r>
      <w:r>
        <w:rPr>
          <w:rFonts w:ascii="Times New Roman" w:cs="Times New Roman" w:eastAsia="Times New Roman" w:hAnsi="Times New Roman"/>
          <w:sz w:val="18"/>
          <w:szCs w:val="18"/>
          <w:color w:val="auto"/>
        </w:rPr>
        <w:t>” means for any Rate Tranche or drawn Letter of Credit that has not been reimbursed on any day:</w:t>
      </w:r>
    </w:p>
    <w:p>
      <w:pPr>
        <w:spacing w:after="0" w:line="225" w:lineRule="exact"/>
        <w:rPr>
          <w:sz w:val="20"/>
          <w:szCs w:val="20"/>
          <w:color w:val="auto"/>
        </w:rPr>
      </w:pPr>
    </w:p>
    <w:p>
      <w:pPr>
        <w:ind w:left="1020" w:hanging="375"/>
        <w:spacing w:after="0"/>
        <w:tabs>
          <w:tab w:leader="none" w:pos="102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Rate Tranche funded by Commercial Paper Notes, the applicable CP Rate;</w:t>
      </w:r>
    </w:p>
    <w:p>
      <w:pPr>
        <w:spacing w:after="0" w:line="225" w:lineRule="exact"/>
        <w:rPr>
          <w:rFonts w:ascii="Times New Roman" w:cs="Times New Roman" w:eastAsia="Times New Roman" w:hAnsi="Times New Roman"/>
          <w:sz w:val="18"/>
          <w:szCs w:val="18"/>
          <w:color w:val="auto"/>
        </w:rPr>
      </w:pPr>
    </w:p>
    <w:p>
      <w:pPr>
        <w:ind w:firstLine="645"/>
        <w:spacing w:after="0" w:line="282" w:lineRule="auto"/>
        <w:tabs>
          <w:tab w:leader="none" w:pos="112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Rate Tranche not funded by Commercial Paper Notes, the applicable Bank Rate for such Rate Tranche,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w:t>
      </w:r>
    </w:p>
    <w:p>
      <w:pPr>
        <w:spacing w:after="0" w:line="161" w:lineRule="exact"/>
        <w:rPr>
          <w:rFonts w:ascii="Times New Roman" w:cs="Times New Roman" w:eastAsia="Times New Roman" w:hAnsi="Times New Roman"/>
          <w:sz w:val="18"/>
          <w:szCs w:val="18"/>
          <w:color w:val="auto"/>
        </w:rPr>
      </w:pPr>
    </w:p>
    <w:p>
      <w:pPr>
        <w:ind w:right="20" w:firstLine="645"/>
        <w:spacing w:after="0" w:line="282" w:lineRule="auto"/>
        <w:tabs>
          <w:tab w:leader="none" w:pos="1045"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drawn Letter of Credit that has not been reimbursed, in accordance with the terms of this Agreement, the sum of (i) the Bank Rate or the applicable CP Rate, as selected by the related Purchaser Agent, plus (ii) the Applicable Margin;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25" w:lineRule="exact"/>
        <w:rPr>
          <w:sz w:val="20"/>
          <w:szCs w:val="20"/>
          <w:color w:val="auto"/>
        </w:rPr>
      </w:pPr>
    </w:p>
    <w:p>
      <w:pPr>
        <w:jc w:val="both"/>
        <w:ind w:left="640" w:firstLine="653"/>
        <w:spacing w:after="0" w:line="256" w:lineRule="auto"/>
        <w:tabs>
          <w:tab w:leader="none" w:pos="1653"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day as to any Rate Tranche which is not funded by Commercial Paper Notes, the Yield Rate shall equal the applicable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if (A) the applicable Purchaser Agent does not receive notice or determine, by 11:00 a.m. (New York City time) on the third Business Day prior to the first day of the related Yield Period, that such Rate Tranche shall not be funded by Commercial Paper Notes or (B) the applicable Purchaser Agent determines that (I) funding that Rate Tranche on a basis consistent with pricing based on the applicable Bank Rate would violate any applicable Law or (II) that deposits of a type and maturity appropriate to match fund such Rate Tranche based on the applicable Bank Rate are not available; and</w:t>
      </w:r>
    </w:p>
    <w:p>
      <w:pPr>
        <w:spacing w:after="0" w:line="187" w:lineRule="exact"/>
        <w:rPr>
          <w:rFonts w:ascii="Times New Roman" w:cs="Times New Roman" w:eastAsia="Times New Roman" w:hAnsi="Times New Roman"/>
          <w:sz w:val="18"/>
          <w:szCs w:val="18"/>
          <w:color w:val="auto"/>
        </w:rPr>
      </w:pPr>
    </w:p>
    <w:p>
      <w:pPr>
        <w:ind w:left="1700" w:hanging="407"/>
        <w:spacing w:after="0"/>
        <w:tabs>
          <w:tab w:leader="none" w:pos="17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day when any Event of Default shall have occurred or the Purchase Termination Date has occurred by virtue of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640" w:right="20" w:firstLine="5"/>
        <w:spacing w:after="0" w:line="261" w:lineRule="auto"/>
        <w:tabs>
          <w:tab w:leader="none" w:pos="896" w:val="left"/>
        </w:tabs>
        <w:numPr>
          <w:ilvl w:val="0"/>
          <w:numId w:val="5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definition thereof, the applicable Yield Rate for each Rate Tranche means a rate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 xml:space="preserve"> equal to the applicable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1.50% </w:t>
      </w:r>
      <w:r>
        <w:rPr>
          <w:rFonts w:ascii="Times New Roman" w:cs="Times New Roman" w:eastAsia="Times New Roman" w:hAnsi="Times New Roman"/>
          <w:sz w:val="18"/>
          <w:szCs w:val="18"/>
          <w:u w:val="single" w:color="auto"/>
          <w:color w:val="auto"/>
        </w:rPr>
        <w:t>per annum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and Servicing Fee Reserve</w:t>
      </w:r>
      <w:r>
        <w:rPr>
          <w:rFonts w:ascii="Times New Roman" w:cs="Times New Roman" w:eastAsia="Times New Roman" w:hAnsi="Times New Roman"/>
          <w:sz w:val="18"/>
          <w:szCs w:val="18"/>
          <w:color w:val="auto"/>
        </w:rPr>
        <w:t>” means on any day an amount determined as follows:</w:t>
      </w: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NPB x [SF x ((SFR + YR)/360) x DSO] + AUY + AUSF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60"/>
          </w:cols>
          <w:pgMar w:left="900" w:top="365" w:right="239" w:bottom="1440" w:gutter="0" w:footer="0" w:header="0"/>
        </w:sectPr>
      </w:pPr>
    </w:p>
    <w:bookmarkStart w:id="545" w:name="page546"/>
    <w:bookmarkEnd w:id="545"/>
    <w:tbl>
      <w:tblPr>
        <w:tblLayout w:type="fixed"/>
        <w:tblInd w:w="1292"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26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45"/>
        </w:trPr>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SF</w:t>
            </w:r>
          </w:p>
        </w:tc>
        <w:tc>
          <w:tcPr>
            <w:tcW w:w="1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NPB</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Net Pool Balance on such day;</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YR</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Prime Rate on such day;</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SFR</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DSO</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DSO on such day; and</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AUY</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amount of any accrued and unpaid Yield on such day.</w:t>
            </w:r>
          </w:p>
        </w:tc>
      </w:tr>
      <w:tr>
        <w:trPr>
          <w:trHeight w:val="43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AUSF</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amount of any accrued but unpaid Servicing Fees.</w:t>
            </w:r>
          </w:p>
        </w:tc>
      </w:tr>
    </w:tbl>
    <w:p>
      <w:pPr>
        <w:spacing w:after="0" w:line="198" w:lineRule="exact"/>
        <w:rPr>
          <w:sz w:val="20"/>
          <w:szCs w:val="20"/>
          <w:color w:val="auto"/>
        </w:rPr>
      </w:pPr>
    </w:p>
    <w:p>
      <w:pPr>
        <w:jc w:val="both"/>
        <w:ind w:left="-8" w:firstLine="656"/>
        <w:spacing w:after="0" w:line="252" w:lineRule="auto"/>
        <w:tabs>
          <w:tab w:leader="none" w:pos="1071" w:val="left"/>
        </w:tabs>
        <w:numPr>
          <w:ilvl w:val="1"/>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Interpretive Matters</w:t>
      </w:r>
      <w:r>
        <w:rPr>
          <w:rFonts w:ascii="Times New Roman" w:cs="Times New Roman" w:eastAsia="Times New Roman" w:hAnsi="Times New Roman"/>
          <w:sz w:val="18"/>
          <w:szCs w:val="18"/>
          <w:color w:val="auto"/>
        </w:rPr>
        <w:t>. All accounting terms defined directly or by incorporation in this Agreement or the Sale Agreement shall have the defined meanings when used in any certificate or other document delivered pursuant thereto unless otherwise defined therein. For purposes of this Agreement, Sale Agreement and all such certificates and other documents, unless the context otherwise requires: (a) accounting terms not otherwise defined in such agreement, and accounting terms partly defined in such agreement to the extent not defined, shall have the respective meanings given to them under generally accepted accounting principles consistently applied; (b) terms defined in Article 9 of the UCC and not otherwise defined in such agreement are used as defined in such Article; (c) references to any amount as on deposit or outstanding on any particular date means such amount at the close of business on such day; (d) the words “hereof,” “herein” and “hereunder” and words of similar import refer to such agreement (or the certificate or other document in which they are used) as a whole and not to any particular provision of such agreement (or such certificate or document); (e) references to any Section, Schedule or Exhibit are references to Sections, Schedules and Exhibits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(f) the term “including” means “including without limitation”; (g) references to any Law refer to that Law as amended from time to time and include any successor Law; (h) references to any agreement refer to that agreement as from time to time amended or supplemented or as the terms of such agreement are waived or modified in accordance with its terms; (i) references to any Person include that Person’s successors and assigns; (j) headings are for purposes of reference only and shall not otherwise affect the meaning or interpretation of any provision hereof;</w:t>
      </w:r>
    </w:p>
    <w:p>
      <w:pPr>
        <w:jc w:val="both"/>
        <w:ind w:left="-8" w:firstLine="8"/>
        <w:spacing w:after="0" w:line="252" w:lineRule="auto"/>
        <w:tabs>
          <w:tab w:leader="none" w:pos="253"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calculation of time from a specified date to a later specified date, the term “from” means “from and including”, and the terms “to” and “until” each means “to but excluding”; (l) if any calculation to be made hereunder refers to a Settlement Period (or any portion thereof) that would have occurred prior to the Closing Date, such reference shall be deemed to be a reference to the applicable calendar month; (m) for the purposes of calculating the Required Reserves (or any component thereof) or the calculation of the Default Ratio, Delinquency Ratio or Dilution Ratio, when a component of any such calculation is determined by reference to the first Settlement Period, such first Settlement Period for such purposes shall be deemed to refer to the first full calendar month after the Closing Date; (n) terms in one gender include the parallel terms in the neuter and opposite gender; and (o) the term “or” is not exclusive.</w:t>
      </w:r>
    </w:p>
    <w:p>
      <w:pPr>
        <w:spacing w:after="0" w:line="200" w:lineRule="exact"/>
        <w:rPr>
          <w:sz w:val="20"/>
          <w:szCs w:val="20"/>
          <w:color w:val="auto"/>
        </w:rPr>
      </w:pPr>
    </w:p>
    <w:p>
      <w:pPr>
        <w:spacing w:after="0" w:line="232" w:lineRule="exact"/>
        <w:rPr>
          <w:sz w:val="20"/>
          <w:szCs w:val="20"/>
          <w:color w:val="auto"/>
        </w:rPr>
      </w:pPr>
    </w:p>
    <w:p>
      <w:pPr>
        <w:ind w:left="4212"/>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12"/>
          </w:cols>
          <w:pgMar w:left="248" w:top="351" w:right="239" w:bottom="1440" w:gutter="0" w:footer="0" w:header="0"/>
        </w:sectPr>
      </w:pPr>
    </w:p>
    <w:bookmarkStart w:id="546" w:name="page547"/>
    <w:bookmarkEnd w:id="546"/>
    <w:p>
      <w:pPr>
        <w:jc w:val="right"/>
        <w:spacing w:after="0"/>
        <w:rPr>
          <w:sz w:val="20"/>
          <w:szCs w:val="20"/>
          <w:color w:val="auto"/>
        </w:rPr>
      </w:pPr>
      <w:r>
        <w:rPr>
          <w:rFonts w:ascii="Times New Roman" w:cs="Times New Roman" w:eastAsia="Times New Roman" w:hAnsi="Times New Roman"/>
          <w:sz w:val="22"/>
          <w:szCs w:val="22"/>
          <w:b w:val="1"/>
          <w:bCs w:val="1"/>
          <w:color w:val="auto"/>
        </w:rPr>
        <w:t>EXECUTION</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VERSION</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AMENDED AND RESTATED PURCHASE AND CONTRIBUTION AGREEMENT</w:t>
      </w:r>
    </w:p>
    <w:p>
      <w:pPr>
        <w:spacing w:after="0" w:line="2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dated as of January 27, 2015</w:t>
      </w:r>
    </w:p>
    <w:p>
      <w:pPr>
        <w:spacing w:after="0" w:line="22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between</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MYLAN PHARMACEUTICALS INC.,</w:t>
      </w:r>
    </w:p>
    <w:p>
      <w:pPr>
        <w:spacing w:after="0" w:line="22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as Originator and as Servicer,</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MYLAN SECURITIZATION LLC,</w:t>
      </w:r>
    </w:p>
    <w:p>
      <w:pPr>
        <w:spacing w:after="0" w:line="22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2"/>
          <w:szCs w:val="22"/>
          <w:color w:val="auto"/>
        </w:rPr>
        <w:t>as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1280160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1194435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547" w:name="page548"/>
    <w:bookmarkEnd w:id="547"/>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567"/>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DEFINITIONS AND RELATED MATTERS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Defined Terms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Interpretive Matters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AGREEMENT TO PURCHASE, SELL AND CONTRIBUTE</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 Sale and Contribution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Timing of Purchases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2.3</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Purchase Price</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w:t>
            </w:r>
          </w:p>
        </w:tc>
      </w:tr>
      <w:tr>
        <w:trPr>
          <w:trHeight w:val="249"/>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 Recourse or Assumption of Obligations; Sale and Intent of the</w:t>
            </w:r>
          </w:p>
        </w:tc>
        <w:tc>
          <w:tcPr>
            <w:tcW w:w="2220" w:type="dxa"/>
            <w:vAlign w:val="bottom"/>
          </w:tcPr>
          <w:p>
            <w:pPr>
              <w:spacing w:after="0"/>
              <w:rPr>
                <w:sz w:val="21"/>
                <w:szCs w:val="21"/>
                <w:color w:val="auto"/>
              </w:rPr>
            </w:pPr>
          </w:p>
        </w:tc>
      </w:tr>
      <w:tr>
        <w:trPr>
          <w:trHeight w:val="210"/>
        </w:trPr>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Parties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3</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III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ADMINISTRATION AND COLLECTION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MPI to Act as Servicer, Contracts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3</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Deemed Collections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3.3</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Actions Evidencing Purchases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3.4</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Application of Collections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6</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IV</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REPRESENTATIONS AND WARRANTIES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Mutual Representations and Warranties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Additional Representations and Warranties of Originator</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8</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GENERAL COVENANTS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Mutual Covenants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Additional Covenants of Originator</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5.3</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Reporting Requirements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5.4</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Negative Covenants of Originator</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18</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TERMINATION OF PURCHASES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20</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Voluntary Termination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20</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Automatic Termination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20</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VII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INDEMNIFICATION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Originator’s Indemnity</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21</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Contribution</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24</w:t>
            </w:r>
          </w:p>
        </w:tc>
      </w:tr>
      <w:tr>
        <w:trPr>
          <w:trHeight w:val="513"/>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ARTICLE VIII</w:t>
            </w:r>
          </w:p>
        </w:tc>
        <w:tc>
          <w:tcPr>
            <w:tcW w:w="74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MISCELLANEOUS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8.1</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Amendments, etc.</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8.2</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 Waiver; Remedies</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1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SECTION</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8.3</w:t>
            </w:r>
          </w:p>
        </w:tc>
        <w:tc>
          <w:tcPr>
            <w:tcW w:w="6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Notices, Etc</w:t>
            </w:r>
          </w:p>
        </w:tc>
        <w:tc>
          <w:tcPr>
            <w:tcW w:w="22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60"/>
          </w:cols>
          <w:pgMar w:left="280" w:top="378" w:right="459" w:bottom="1440" w:gutter="0" w:footer="0" w:header="0"/>
        </w:sectPr>
      </w:pPr>
    </w:p>
    <w:bookmarkStart w:id="548" w:name="page549"/>
    <w:bookmarkEnd w:id="5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8.4</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8.5</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8.6</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8.7</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8.8</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8.9</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8.10</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8.11</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8.12</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8.13</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8.14</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8.15</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8.16</w:t>
      </w:r>
    </w:p>
    <w:p>
      <w:pPr>
        <w:spacing w:after="0" w:line="8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SECTION</w:t>
        <w:tab/>
        <w:t>8.17</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56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Binding Effect; Assignment</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25</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Survival</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25</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Costs, Expenses and Taxes</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25</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Execution in Counterparts; Integration</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Governing Law</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Waiver of Jury Trial</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26</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Consent to Jurisdiction; Waiver of Immunities</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Confidentiality</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No Proceedings</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No Recourse Against Other Parties</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Grant of Security Interest</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Binding Terms in Other Transaction Documents</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28</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Severability</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28</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Effect of Agreement</w:t>
            </w:r>
          </w:p>
        </w:tc>
        <w:tc>
          <w:tcPr>
            <w:tcW w:w="28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28</w:t>
            </w:r>
          </w:p>
        </w:tc>
      </w:tr>
    </w:tbl>
    <w:p>
      <w:pPr>
        <w:spacing w:after="0" w:line="200" w:lineRule="exact"/>
        <w:rPr>
          <w:sz w:val="20"/>
          <w:szCs w:val="20"/>
          <w:color w:val="auto"/>
        </w:rPr>
      </w:pPr>
    </w:p>
    <w:p>
      <w:pPr>
        <w:spacing w:after="0" w:line="3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2">
            <w:col w:w="1300" w:space="720"/>
            <w:col w:w="8400"/>
          </w:cols>
          <w:pgMar w:left="1020" w:top="378" w:right="459" w:bottom="1440" w:gutter="0" w:footer="0" w:header="0"/>
        </w:sectPr>
      </w:pPr>
    </w:p>
    <w:bookmarkStart w:id="549" w:name="page550"/>
    <w:bookmarkEnd w:id="549"/>
    <w:p>
      <w:pPr>
        <w:spacing w:after="0"/>
        <w:tabs>
          <w:tab w:leader="none" w:pos="940" w:val="left"/>
        </w:tabs>
        <w:rPr>
          <w:sz w:val="20"/>
          <w:szCs w:val="20"/>
          <w:color w:val="auto"/>
        </w:rPr>
      </w:pPr>
      <w:r>
        <w:rPr>
          <w:rFonts w:ascii="Times New Roman" w:cs="Times New Roman" w:eastAsia="Times New Roman" w:hAnsi="Times New Roman"/>
          <w:sz w:val="18"/>
          <w:szCs w:val="18"/>
          <w:color w:val="auto"/>
        </w:rPr>
        <w:t>ANNEX 1</w:t>
      </w:r>
      <w:r>
        <w:rPr>
          <w:sz w:val="20"/>
          <w:szCs w:val="20"/>
          <w:color w:val="auto"/>
        </w:rPr>
        <w:tab/>
      </w:r>
      <w:r>
        <w:rPr>
          <w:rFonts w:ascii="Times New Roman" w:cs="Times New Roman" w:eastAsia="Times New Roman" w:hAnsi="Times New Roman"/>
          <w:sz w:val="17"/>
          <w:szCs w:val="17"/>
          <w:color w:val="auto"/>
        </w:rPr>
        <w:t>UCC Details Schedule</w:t>
      </w:r>
    </w:p>
    <w:p>
      <w:pPr>
        <w:spacing w:after="0" w:line="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ANNEX 2</w:t>
      </w:r>
      <w:r>
        <w:rPr>
          <w:sz w:val="20"/>
          <w:szCs w:val="20"/>
          <w:color w:val="auto"/>
        </w:rPr>
        <w:tab/>
      </w:r>
      <w:r>
        <w:rPr>
          <w:rFonts w:ascii="Times New Roman" w:cs="Times New Roman" w:eastAsia="Times New Roman" w:hAnsi="Times New Roman"/>
          <w:sz w:val="17"/>
          <w:szCs w:val="17"/>
          <w:color w:val="auto"/>
        </w:rPr>
        <w:t>Lock-Box Information</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ANNEX 3</w:t>
      </w:r>
      <w:r>
        <w:rPr>
          <w:sz w:val="20"/>
          <w:szCs w:val="20"/>
          <w:color w:val="auto"/>
        </w:rPr>
        <w:tab/>
      </w:r>
      <w:r>
        <w:rPr>
          <w:rFonts w:ascii="Times New Roman" w:cs="Times New Roman" w:eastAsia="Times New Roman" w:hAnsi="Times New Roman"/>
          <w:sz w:val="17"/>
          <w:szCs w:val="17"/>
          <w:color w:val="auto"/>
        </w:rPr>
        <w:t>Notice Information</w:t>
      </w:r>
    </w:p>
    <w:p>
      <w:pPr>
        <w:spacing w:after="0" w:line="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EXHIBIT 5.3</w:t>
      </w:r>
      <w:r>
        <w:rPr>
          <w:sz w:val="20"/>
          <w:szCs w:val="20"/>
          <w:color w:val="auto"/>
        </w:rPr>
        <w:tab/>
      </w:r>
      <w:r>
        <w:rPr>
          <w:rFonts w:ascii="Times New Roman" w:cs="Times New Roman" w:eastAsia="Times New Roman" w:hAnsi="Times New Roman"/>
          <w:sz w:val="17"/>
          <w:szCs w:val="17"/>
          <w:color w:val="auto"/>
        </w:rPr>
        <w:t>Form of Compliance Certificate</w:t>
      </w:r>
    </w:p>
    <w:p>
      <w:pPr>
        <w:sectPr>
          <w:pgSz w:w="11900" w:h="16838" w:orient="portrait"/>
          <w:cols w:equalWidth="0" w:num="1">
            <w:col w:w="10219"/>
          </w:cols>
          <w:pgMar w:left="240" w:top="364" w:right="1440" w:bottom="1440" w:gutter="0" w:footer="0" w:header="0"/>
        </w:sectPr>
      </w:pPr>
    </w:p>
    <w:bookmarkStart w:id="550" w:name="page551"/>
    <w:bookmarkEnd w:id="550"/>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PURCHASE AND CONTRIBUTION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PURCHASE AND CONTRIBUTION AGREEMENT dated as of January 27, 2015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between MYLAN PHARMACEUTICALS INC., a West Virginia corporation (“</w:t>
      </w:r>
      <w:r>
        <w:rPr>
          <w:rFonts w:ascii="Times New Roman" w:cs="Times New Roman" w:eastAsia="Times New Roman" w:hAnsi="Times New Roman"/>
          <w:sz w:val="18"/>
          <w:szCs w:val="18"/>
          <w:u w:val="single" w:color="auto"/>
          <w:color w:val="auto"/>
        </w:rPr>
        <w:t>MPI</w:t>
      </w:r>
      <w:r>
        <w:rPr>
          <w:rFonts w:ascii="Times New Roman" w:cs="Times New Roman" w:eastAsia="Times New Roman" w:hAnsi="Times New Roman"/>
          <w:sz w:val="18"/>
          <w:szCs w:val="18"/>
          <w:color w:val="auto"/>
        </w:rPr>
        <w:t>”), as originator and seller (“</w:t>
      </w:r>
      <w:r>
        <w:rPr>
          <w:rFonts w:ascii="Times New Roman" w:cs="Times New Roman" w:eastAsia="Times New Roman" w:hAnsi="Times New Roman"/>
          <w:sz w:val="18"/>
          <w:szCs w:val="18"/>
          <w:u w:val="single" w:color="auto"/>
          <w:color w:val="auto"/>
        </w:rPr>
        <w:t>Originator</w:t>
      </w:r>
      <w:r>
        <w:rPr>
          <w:rFonts w:ascii="Times New Roman" w:cs="Times New Roman" w:eastAsia="Times New Roman" w:hAnsi="Times New Roman"/>
          <w:sz w:val="18"/>
          <w:szCs w:val="18"/>
          <w:color w:val="auto"/>
        </w:rPr>
        <w:t>”), and as initial servicer (in such capacity, the “</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and Mylan Securitization LLC, a Delaware limited liability company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For good and valuable consideration, the sufficiency of which is hereby acknowledged, the parties hereto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RELATED MATTERS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In this Agreement, unless otherwise specified: (a) capitalized terms are used as defined in (or by reference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Amended and Restated Receivables Purchase Agreement, dated as of the date hereof (as amended, restated, modified or otherwise supplemented from time to time, the “</w:t>
      </w:r>
      <w:r>
        <w:rPr>
          <w:rFonts w:ascii="Times New Roman" w:cs="Times New Roman" w:eastAsia="Times New Roman" w:hAnsi="Times New Roman"/>
          <w:sz w:val="18"/>
          <w:szCs w:val="18"/>
          <w:u w:val="single" w:color="auto"/>
          <w:color w:val="auto"/>
        </w:rPr>
        <w:t>Receivables 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among Buyer, as Seller, MPI, as Servicer, the Conduit Purchasers from time to time party thereto, the Committed Purchasers from time to time party thereto, the Purchaser Agents from time to time party thereto, The Bank of Tokyo-Mitsubishi UFJ, Ltd., New York Branch, as Agent, and the LOC Issuers from time to time party thereto and (b) as used in this Agreement, unless the context otherwise requires, the following terms have the meanings indicated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 contract (including any purchase order or invoice) originally between Originator and any Person pursuant to or under which such Person shall be obligated to make payments to Originator with respect to the sale of goods or the furnishing of services from time to time. A “related” Contract with respect to a Receivable means a Contract under which such Receivable arises or which is relevant to the collection or enforcement of such Receivable.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Collections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Transfer Date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Originator Indemnified Party</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Originator Indemnified Amounts</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given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Assets</w:t>
      </w:r>
      <w:r>
        <w:rPr>
          <w:rFonts w:ascii="Times New Roman" w:cs="Times New Roman" w:eastAsia="Times New Roman" w:hAnsi="Times New Roman"/>
          <w:sz w:val="18"/>
          <w:szCs w:val="18"/>
          <w:color w:val="auto"/>
        </w:rPr>
        <w:t xml:space="preserve">” means (a) all rights to, but not any obligations under, all Related Security with respect to the Receivables, (b) all Records, (c) all Collections in respect of, and other proceeds of, the Receivables or any other Related Security, (d) all lock-box accounts (and related lock-boxes, if any) related to the Receivables and all amounts, instruments or other items from time to time on deposit therein, (e) all rights and remedies of Originator under each lock-box agreement related to the lock-box accounts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(including the Lock-Box Agreements) and the other Transaction Documents and any other rights or assets pledged sold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color w:val="auto"/>
        </w:rPr>
        <w:t>otherwise transferred to Buyer hereunder, and (f) all the products and proceeds of any of the foregoing.</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u w:val="single" w:color="auto"/>
          <w:color w:val="auto"/>
        </w:rPr>
        <w:t>Other Interpretive Matters</w:t>
      </w:r>
      <w:r>
        <w:rPr>
          <w:rFonts w:ascii="Times New Roman" w:cs="Times New Roman" w:eastAsia="Times New Roman" w:hAnsi="Times New Roman"/>
          <w:sz w:val="18"/>
          <w:szCs w:val="18"/>
          <w:color w:val="auto"/>
        </w:rPr>
        <w:t>. The interpretation of this Agreement, unless otherwise specified,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Receivables Purchase Agreement.</w:t>
      </w:r>
    </w:p>
    <w:p>
      <w:pPr>
        <w:spacing w:after="0" w:line="200" w:lineRule="exact"/>
        <w:rPr>
          <w:sz w:val="20"/>
          <w:szCs w:val="20"/>
          <w:color w:val="auto"/>
        </w:rPr>
      </w:pP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PURCHASE, SELL AND CONTRIBUTE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Purchase, Sale and Contribution</w:t>
      </w:r>
      <w:r>
        <w:rPr>
          <w:rFonts w:ascii="Times New Roman" w:cs="Times New Roman" w:eastAsia="Times New Roman" w:hAnsi="Times New Roman"/>
          <w:sz w:val="18"/>
          <w:szCs w:val="18"/>
          <w:color w:val="auto"/>
        </w:rPr>
        <w:t>. Upon the terms and subject to the conditions set forth in this Agreement, on the date the earlier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initial Funded Purchase or initial LOC Purchase (the “</w:t>
      </w:r>
      <w:r>
        <w:rPr>
          <w:rFonts w:ascii="Times New Roman" w:cs="Times New Roman" w:eastAsia="Times New Roman" w:hAnsi="Times New Roman"/>
          <w:sz w:val="18"/>
          <w:szCs w:val="18"/>
          <w:u w:val="single" w:color="auto"/>
          <w:color w:val="auto"/>
        </w:rPr>
        <w:t>Initial Transfer Date</w:t>
      </w:r>
      <w:r>
        <w:rPr>
          <w:rFonts w:ascii="Times New Roman" w:cs="Times New Roman" w:eastAsia="Times New Roman" w:hAnsi="Times New Roman"/>
          <w:sz w:val="18"/>
          <w:szCs w:val="18"/>
          <w:color w:val="auto"/>
        </w:rPr>
        <w:t>”), Originator hereby sells or contributes, as applicable, to Buyer, and Buyer hereby purchases or acquires from Originator all of Originator’s right, title and interest in, to and under the Receivables and the Related Assets, in each case whether now owned or existing, hereafter arising, acquired or originated, or in which the Originator now or hereinafter has any rights, and wherever so located.</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Timing of Purchases</w:t>
      </w:r>
      <w:r>
        <w:rPr>
          <w:rFonts w:ascii="Times New Roman" w:cs="Times New Roman" w:eastAsia="Times New Roman" w:hAnsi="Times New Roman"/>
          <w:sz w:val="18"/>
          <w:szCs w:val="18"/>
          <w:color w:val="auto"/>
        </w:rPr>
        <w:t>. All of the Receivables existing at the opening of Originator’s business on the Initial Transfer Date are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or contributed, as applicable, to Buyer on such date in accordance with the terms hereof. On and after the Initial Transfer Date until the Purchase Termination Date, each Receivable shall be deemed to have been sold to Buyer immediately (and without further action by any Person) upon the creation, origination or acquisition of such Receivable by the Originator. The Related Assets with respect to each Receivable shall be sold at the same time as such Receivable, whether such Related Assets exist at such time or arise, are created, acquired or are originated thereafter.</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 The purchase price for the Receivables and the Related Assets shall equal the fair market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as agreed by Originator and Buyer at the time of purchase or acquisition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780" w:hanging="394"/>
        <w:spacing w:after="0"/>
        <w:tabs>
          <w:tab w:leader="none" w:pos="178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781"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pay the Purchase Price due on any day in cash to the extent not paid as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Buyer does not have funds available to pay such amount of Purchase Price due on any day in cash in full, Originator and Buyer shall agree that the Receivables allocable to the amount of such insufficiency shall be deemed to have been transferred by Originator to Buyer as a capital contribution, in return for an increase in the value of the equity interest in Buyer held by Originator.</w:t>
      </w:r>
    </w:p>
    <w:p>
      <w:pPr>
        <w:spacing w:after="0" w:line="180"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77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Originator, Buyer may also elect to pay all or part of the applicable Purchase Price for each purchase of Receivables and Related Assets to be made on any day by causing an LOC Issuer to issue a Letter of Credit, subject to the terms and conditions (including any limitations therein on the amount of any such issuance) for issuing Letters of Credit under the Receivables Purchase Agreement, in favor of beneficiaries selected by Originator in the Stated Amount requested by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4" w:right="239" w:bottom="1440" w:gutter="0" w:footer="0" w:header="0"/>
        </w:sectPr>
      </w:pPr>
    </w:p>
    <w:bookmarkStart w:id="552" w:name="page553"/>
    <w:bookmarkEnd w:id="552"/>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 xml:space="preserve">Originator. Originator shall not have reimbursement obligations in respect of any Letter of Credit. In the event that Originator requests that any purchases hereunder be paid for by the issuance of Letters of Credit as described herein, Originator shall, on a timely basis, provide Buyer with such information as is necessary for Buyer to obtain such Letter of Credit from the LOC Issuers. The Stated Amount of each such Letter of Credit, as agreed by Buyer and Originator at the time of purchase, shall be applied as a deduction from the applicable Purchase Price that would otherwise be payable by Buyer on such date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as applicable, in respect of the Receivables and Related Assets then being purchased.</w:t>
      </w:r>
    </w:p>
    <w:p>
      <w:pPr>
        <w:spacing w:after="0" w:line="188" w:lineRule="exact"/>
        <w:rPr>
          <w:sz w:val="20"/>
          <w:szCs w:val="20"/>
          <w:color w:val="auto"/>
        </w:rPr>
      </w:pPr>
    </w:p>
    <w:p>
      <w:pPr>
        <w:jc w:val="both"/>
        <w:ind w:left="740" w:firstLine="646"/>
        <w:spacing w:after="0" w:line="261" w:lineRule="auto"/>
        <w:tabs>
          <w:tab w:leader="none" w:pos="182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each such transfer, Buyer and Originator shall record on or prior to the Reporting Date immediately following such transfer, and make such record available to Agent and each Purchaser Agent upon its reasonable request, the portion, if any, of the Purchase Price paid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the portion, if any, paid in cash and the portion, if any, treated as a capital contribution for the related Settlement Period.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No Recourse or Assumption of Obligations; Sale and Intent of the Parties</w:t>
      </w:r>
      <w:r>
        <w:rPr>
          <w:rFonts w:ascii="Times New Roman" w:cs="Times New Roman" w:eastAsia="Times New Roman" w:hAnsi="Times New Roman"/>
          <w:sz w:val="18"/>
          <w:szCs w:val="18"/>
          <w:color w:val="auto"/>
        </w:rPr>
        <w:t>. Except as specifically provided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sale or contribution, as applicable, of Receivables and Related Assets under this Agreement shall be without recourse to Originator. Originator and Buyer intend the transactions hereunder to constitute absolute and irrevocable true sales and/or valid contributions, as applicable, of Receivables and the Related Assets by Originator to Buyer, providing Buyer with the full risks and benefits of ownership of the Receivables and Related Assets (such that the Receivables and the Related Assets would not be property of Originator’s estate in the event of Originator’s bankruptcy).</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Buyer, Agent, Committed Purchasers, Conduit Purchasers, Purchaser Agents, LOC Issuers and the other Secured Parties shall not have any obligation or liability under any Receivables or Related Assets, nor shall Buyer, Agent, Committed Purchasers, Conduit Purchasers, Purchaser Agents, LOC Issuers or the other Secured Parties have any obligation or liability to any Obligor or other customer or client of Originator (including any obligation to perform any of the obligations of Originator under any Receivables or Related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COLLECTION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MPI to Act as Servicer, Contracts</w:t>
      </w:r>
      <w:r>
        <w:rPr>
          <w:rFonts w:ascii="Times New Roman" w:cs="Times New Roman" w:eastAsia="Times New Roman" w:hAnsi="Times New Roman"/>
          <w:sz w:val="18"/>
          <w:szCs w:val="18"/>
          <w:color w:val="auto"/>
        </w:rPr>
        <w:t>. (a) MPI shall be initially responsible for the servicing, administration and collection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and the Related Assets for the benefit of Buyer and for the benefit of Agent (as Buyer’s assignee) on behalf of the Purchasers, all on the terms set out in (and subject to any rights to terminate MPI as Servicer and appoint a successor Servicer pursuant to) the Receivables Purchase Agreement.</w:t>
      </w:r>
    </w:p>
    <w:p>
      <w:pPr>
        <w:spacing w:after="0" w:line="175" w:lineRule="exact"/>
        <w:rPr>
          <w:sz w:val="20"/>
          <w:szCs w:val="20"/>
          <w:color w:val="auto"/>
        </w:rPr>
      </w:pPr>
    </w:p>
    <w:p>
      <w:pPr>
        <w:jc w:val="both"/>
        <w:ind w:left="740" w:firstLine="646"/>
        <w:spacing w:after="0" w:line="266" w:lineRule="auto"/>
        <w:tabs>
          <w:tab w:leader="none" w:pos="1851"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and Originator hereby grant to Servicer an irrevocable power of attorney, with full power of substitution, coupled with an interest, to take in the name of Buyer or Originator, as the case may be, any and all steps which are necessary or advisable to endorse, negotiate, enforce, or otherwise realize on any writing or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4" w:right="239" w:bottom="1440" w:gutter="0" w:footer="0" w:header="0"/>
        </w:sectPr>
      </w:pPr>
    </w:p>
    <w:bookmarkStart w:id="553" w:name="page554"/>
    <w:bookmarkEnd w:id="553"/>
    <w:p>
      <w:pPr>
        <w:ind w:left="80" w:right="20"/>
        <w:spacing w:after="0" w:line="282" w:lineRule="auto"/>
        <w:rPr>
          <w:sz w:val="20"/>
          <w:szCs w:val="20"/>
          <w:color w:val="auto"/>
        </w:rPr>
      </w:pPr>
      <w:r>
        <w:rPr>
          <w:rFonts w:ascii="Times New Roman" w:cs="Times New Roman" w:eastAsia="Times New Roman" w:hAnsi="Times New Roman"/>
          <w:sz w:val="18"/>
          <w:szCs w:val="18"/>
          <w:color w:val="auto"/>
        </w:rPr>
        <w:t>right of any kind held or transmitted by Buyer or Originator or transmitted or received by Buyer or Originator in connection with any Receivable and any Related Assets (including under the related Records).</w:t>
      </w:r>
    </w:p>
    <w:p>
      <w:pPr>
        <w:spacing w:after="0" w:line="162" w:lineRule="exact"/>
        <w:rPr>
          <w:sz w:val="20"/>
          <w:szCs w:val="20"/>
          <w:color w:val="auto"/>
        </w:rPr>
      </w:pPr>
    </w:p>
    <w:p>
      <w:pPr>
        <w:jc w:val="both"/>
        <w:ind w:left="80" w:firstLine="646"/>
        <w:spacing w:after="0" w:line="261" w:lineRule="auto"/>
        <w:tabs>
          <w:tab w:leader="none" w:pos="1138"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Originator shall perform all of its obligations under the Receivables and Related Assets (including under the related Records) to the same extent as if the Receivables had not been sold or contributed, as applicable, hereunder and the exercise by each of Buyer, Servicer, Agent or any of their respective designees of its rights hereunder or under the Receivables Purchase Agreement shall not relieve Originator from any such obligations.</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3.2</w:t>
      </w:r>
      <w:r>
        <w:rPr>
          <w:sz w:val="20"/>
          <w:szCs w:val="20"/>
          <w:color w:val="auto"/>
        </w:rPr>
        <w:tab/>
      </w:r>
      <w:r>
        <w:rPr>
          <w:rFonts w:ascii="Times New Roman" w:cs="Times New Roman" w:eastAsia="Times New Roman" w:hAnsi="Times New Roman"/>
          <w:sz w:val="17"/>
          <w:szCs w:val="17"/>
          <w:u w:val="single" w:color="auto"/>
          <w:color w:val="auto"/>
        </w:rPr>
        <w:t>Deemed Collections</w:t>
      </w:r>
      <w:r>
        <w:rPr>
          <w:rFonts w:ascii="Times New Roman" w:cs="Times New Roman" w:eastAsia="Times New Roman" w:hAnsi="Times New Roman"/>
          <w:sz w:val="17"/>
          <w:szCs w:val="17"/>
          <w:color w:val="auto"/>
        </w:rPr>
        <w:t>. (a) If on any day:</w:t>
      </w:r>
    </w:p>
    <w:p>
      <w:pPr>
        <w:spacing w:after="0" w:line="229" w:lineRule="exact"/>
        <w:rPr>
          <w:sz w:val="20"/>
          <w:szCs w:val="20"/>
          <w:color w:val="auto"/>
        </w:rPr>
      </w:pPr>
    </w:p>
    <w:p>
      <w:pPr>
        <w:jc w:val="both"/>
        <w:ind w:left="640" w:firstLine="653"/>
        <w:spacing w:after="0" w:line="252" w:lineRule="auto"/>
        <w:tabs>
          <w:tab w:leader="none" w:pos="172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Unpaid Balance of any Receivable originated by Originator is: (A) reduced or cancelled as a result of any defective, rejected or returned merchandise or services, any cash discount, or any other adjustment by Servicer, Originator, any of their respective Affiliates or otherwise (other than any reduction or cancellation that would constitute credit recourse for uncollectible Receivables or to the extent of any amount of any of the foregoing then included in the Adjusted Contractual Dilution Estimate in effect at such time), (B) reduced or cancelled as a result of a setoff or netting in respect of any dispute, claim or other action by the Obligor thereof against Servicer, Originator, any of their respective Affiliates or otherwise (whether such claim arises out of the same, a related or an unrelated transaction and other than any reduction or cancellation that would constitute credit recourse for uncollectible Receivables or to the extent of any amount of any of the foregoing then included in the Adjusted Contractual Dilution Estimate in effect at such time), (C) reduced or cancelled on account of the obligation of Servicer, Originator, any of their respective Affiliates or otherwise to pay to the related Obligor, or the payment of, any rebate, discount, refund or similar credit (other than any reduction or cancellation that would constitute credit recourse for uncollectible Receivables or to the extent of any amount of any of the foregoing then included in the Adjusted Contractual Dilution Estimate in effect at such time), (D) less than the amount included in calculating the Net Pool Balance for purposes of any Information Package (for any reason other than such Receivable becoming a Defaulted Receivable or due to the application of Collections received with respect to such Receivable), or (E) extended, amended or otherwise modified or waived or any term or condition of any related Contract is amended, modified or waived (except to the extent covered by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expressly permitted by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xml:space="preserve"> of the Receivables Purchase Agreement); or</w:t>
      </w:r>
    </w:p>
    <w:p>
      <w:pPr>
        <w:spacing w:after="0" w:line="196" w:lineRule="exact"/>
        <w:rPr>
          <w:rFonts w:ascii="Times New Roman" w:cs="Times New Roman" w:eastAsia="Times New Roman" w:hAnsi="Times New Roman"/>
          <w:sz w:val="18"/>
          <w:szCs w:val="18"/>
          <w:color w:val="auto"/>
        </w:rPr>
      </w:pPr>
    </w:p>
    <w:p>
      <w:pPr>
        <w:ind w:left="640" w:firstLine="653"/>
        <w:spacing w:after="0" w:line="282" w:lineRule="auto"/>
        <w:tabs>
          <w:tab w:leader="none" w:pos="1717"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the representations or warranties of Originator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were untrue when made or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are no longer true with respect to any Receivable;</w:t>
      </w:r>
    </w:p>
    <w:p>
      <w:pPr>
        <w:spacing w:after="0" w:line="1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then, on such day, Originator shall be deemed to have received a Collection of such</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Receivable:</w:t>
      </w:r>
    </w:p>
    <w:p>
      <w:pPr>
        <w:spacing w:after="0" w:line="200" w:lineRule="exact"/>
        <w:rPr>
          <w:sz w:val="20"/>
          <w:szCs w:val="20"/>
          <w:color w:val="auto"/>
        </w:rPr>
      </w:pPr>
    </w:p>
    <w:p>
      <w:pPr>
        <w:spacing w:after="0" w:line="2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900" w:top="364" w:right="239" w:bottom="1440" w:gutter="0" w:footer="0" w:header="0"/>
        </w:sectPr>
      </w:pPr>
    </w:p>
    <w:bookmarkStart w:id="554" w:name="page555"/>
    <w:bookmarkEnd w:id="554"/>
    <w:p>
      <w:pPr>
        <w:jc w:val="both"/>
        <w:ind w:left="1300" w:firstLine="653"/>
        <w:spacing w:after="0" w:line="261" w:lineRule="auto"/>
        <w:tabs>
          <w:tab w:leader="none" w:pos="2352"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clauses (i)(A)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in the amount of such reduction or cancellation or the difference between the actual Unpaid Balance (as determined immediately prior to the applicable event) and the amount included in respect of such Receivable in calculating such Net Pool Balance or, with respect to </w:t>
      </w:r>
      <w:r>
        <w:rPr>
          <w:rFonts w:ascii="Times New Roman" w:cs="Times New Roman" w:eastAsia="Times New Roman" w:hAnsi="Times New Roman"/>
          <w:sz w:val="18"/>
          <w:szCs w:val="18"/>
          <w:u w:val="single" w:color="auto"/>
          <w:color w:val="auto"/>
        </w:rPr>
        <w:t>clause (i)(E)</w:t>
      </w:r>
      <w:r>
        <w:rPr>
          <w:rFonts w:ascii="Times New Roman" w:cs="Times New Roman" w:eastAsia="Times New Roman" w:hAnsi="Times New Roman"/>
          <w:sz w:val="18"/>
          <w:szCs w:val="18"/>
          <w:color w:val="auto"/>
        </w:rPr>
        <w:t xml:space="preserve"> above, in the amount that such extension, modification, amendment or waiver affects the Unpaid Balance of the related Receivable in the sole determination of Buyer; or</w:t>
      </w:r>
    </w:p>
    <w:p>
      <w:pPr>
        <w:spacing w:after="0" w:line="180" w:lineRule="exact"/>
        <w:rPr>
          <w:rFonts w:ascii="Times New Roman" w:cs="Times New Roman" w:eastAsia="Times New Roman" w:hAnsi="Times New Roman"/>
          <w:sz w:val="18"/>
          <w:szCs w:val="18"/>
          <w:color w:val="auto"/>
        </w:rPr>
      </w:pPr>
    </w:p>
    <w:p>
      <w:pPr>
        <w:ind w:left="1300" w:firstLine="653"/>
        <w:spacing w:after="0" w:line="282" w:lineRule="auto"/>
        <w:tabs>
          <w:tab w:leader="none" w:pos="244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in the amount of the entire Unpaid Balance of the relevant Receivable (as determined immediately prior to the applicable event) with respect to which such representations or warranties of Originator are or were untrue.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Collections deemed received by Originator under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are herein referred to as “</w:t>
      </w:r>
      <w:r>
        <w:rPr>
          <w:rFonts w:ascii="Times New Roman" w:cs="Times New Roman" w:eastAsia="Times New Roman" w:hAnsi="Times New Roman"/>
          <w:sz w:val="18"/>
          <w:szCs w:val="18"/>
          <w:u w:val="single" w:color="auto"/>
          <w:color w:val="auto"/>
        </w:rPr>
        <w:t>Deemed Collections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firstLine="646"/>
        <w:spacing w:after="0" w:line="258" w:lineRule="auto"/>
        <w:tabs>
          <w:tab w:leader="none" w:pos="1928"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the first Business Day after Originator is deemed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have received any Deemed Collections, Originator shall transfer to Buyer immediately available funds in the amount of such Deemed Collections or make such application with respect to such funds as may be required by the Receivables Purchase Agreement. Upon receipt of the amount set forth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with respect to any Receivable with respect to which the event set forth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shall have occurred, Buyer shall, without further action, be deemed to have reconveyed such Receivable to the applicable Originator as soon as such Receivable is released to it by the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u w:val="single" w:color="auto"/>
          <w:color w:val="auto"/>
        </w:rPr>
        <w:t>Actions Evidencing Purchases</w:t>
      </w:r>
      <w:r>
        <w:rPr>
          <w:rFonts w:ascii="Times New Roman" w:cs="Times New Roman" w:eastAsia="Times New Roman" w:hAnsi="Times New Roman"/>
          <w:sz w:val="18"/>
          <w:szCs w:val="18"/>
          <w:color w:val="auto"/>
        </w:rPr>
        <w:t>. (a) On or prior to the Initial Transfer Date, Originator shall mark its master data processing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evidencing Receivables and Contracts with a legend, acceptable to Buyer and Agent, evidencing that the Receivables have been sold or contributed, as applicable, in accordance with this Agreement and neither Originator nor Servicer shall change or remove such notation without the consent of Buyer and Agent (acting with the consent, or at the direction of, each of the Purchaser Agents). In addition, Originator agrees that from time to time, at its expense, it will promptly execute and deliver all further instruments and documents, and take all further action that Buyer or its assignee may request in order to perfect, protect or more fully evidence the purchases, sales and contributions hereunder, or to enable Buyer or its assigns to exercise or enforce any of their respective rights with respect to the Receivables and the Related Assets. Without limiting the generality of the foregoing, Originator will upon the request of Buyer or its assignee: (i) authorize and file such financing or continuation statements, or amendments thereto or assignments thereof, and such other instruments or notices, as may be necessary or appropriate; and (ii) upon and after the occurrence of an Event of Default, mark conspicuously each Contract evidencing each Receivable with a legend, acceptable to Buyer and Agent, evidencing that the related Receivables have been sold or contributed in accordance with this Agreement.</w:t>
      </w:r>
    </w:p>
    <w:p>
      <w:pPr>
        <w:spacing w:after="0" w:line="187" w:lineRule="exact"/>
        <w:rPr>
          <w:sz w:val="20"/>
          <w:szCs w:val="20"/>
          <w:color w:val="auto"/>
        </w:rPr>
      </w:pPr>
    </w:p>
    <w:p>
      <w:pPr>
        <w:ind w:left="740" w:firstLine="646"/>
        <w:spacing w:after="0" w:line="282" w:lineRule="auto"/>
        <w:tabs>
          <w:tab w:leader="none" w:pos="1891"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Originator hereby authorizes Buyer, its assignees or their respective designee (i) to file one or more financing or continuation statements, and amendments thereto and assignments thereof, relative to all or any of the Receivables and the Related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5" w:right="239" w:bottom="1440" w:gutter="0" w:footer="0" w:header="0"/>
        </w:sectPr>
      </w:pPr>
    </w:p>
    <w:bookmarkStart w:id="555" w:name="page556"/>
    <w:bookmarkEnd w:id="555"/>
    <w:p>
      <w:pPr>
        <w:ind w:left="740" w:right="20"/>
        <w:spacing w:after="0" w:line="282" w:lineRule="auto"/>
        <w:rPr>
          <w:sz w:val="20"/>
          <w:szCs w:val="20"/>
          <w:color w:val="auto"/>
        </w:rPr>
      </w:pPr>
      <w:r>
        <w:rPr>
          <w:rFonts w:ascii="Times New Roman" w:cs="Times New Roman" w:eastAsia="Times New Roman" w:hAnsi="Times New Roman"/>
          <w:sz w:val="18"/>
          <w:szCs w:val="18"/>
          <w:color w:val="auto"/>
        </w:rPr>
        <w:t>Assets now existing or hereafter arising in the name of Originator and (ii) to the extent permitted by the Receivables Purchase Agreement, to notify Obligors of the assignment of the Receivables and the Related Assets.</w:t>
      </w:r>
    </w:p>
    <w:p>
      <w:pPr>
        <w:spacing w:after="0" w:line="162" w:lineRule="exact"/>
        <w:rPr>
          <w:sz w:val="20"/>
          <w:szCs w:val="20"/>
          <w:color w:val="auto"/>
        </w:rPr>
      </w:pPr>
    </w:p>
    <w:p>
      <w:pPr>
        <w:jc w:val="both"/>
        <w:ind w:left="740" w:firstLine="646"/>
        <w:spacing w:after="0" w:line="261" w:lineRule="auto"/>
        <w:tabs>
          <w:tab w:leader="none" w:pos="1856"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subsection (a), Originator shall authorize and deliver and file or cause to be filed appropriate continuation statements not earlier than six months and not later than three months prior to the fifth anniversary of the date of filing of the financing statements filed in connection with the Prior Closing Date or any other financing statement filed pursuant to this Agreement, if the Final Payout Date shall not have occurred.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Application of Collections</w:t>
      </w:r>
      <w:r>
        <w:rPr>
          <w:rFonts w:ascii="Times New Roman" w:cs="Times New Roman" w:eastAsia="Times New Roman" w:hAnsi="Times New Roman"/>
          <w:sz w:val="18"/>
          <w:szCs w:val="18"/>
          <w:color w:val="auto"/>
        </w:rPr>
        <w:t>. Unless Buyer instructs otherwise, any payment by an Obligor in respect of any indebtedness owed by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Originator shall, except as otherwise specified in writing by such Obligor (whether before or after receipt of such payment), or required by the related Contracts or Law,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as a Collection of any Receivable or Receivables then outstanding of such Obligor, with such Receivables being paid in the order of the oldest first, starting with the oldest of such Receivables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any other indebtedness of such Obligor.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8"/>
          <w:szCs w:val="18"/>
          <w:u w:val="single" w:color="auto"/>
          <w:color w:val="auto"/>
        </w:rPr>
        <w:t>Mutual Representations and Warranties</w:t>
      </w:r>
      <w:r>
        <w:rPr>
          <w:rFonts w:ascii="Times New Roman" w:cs="Times New Roman" w:eastAsia="Times New Roman" w:hAnsi="Times New Roman"/>
          <w:sz w:val="18"/>
          <w:szCs w:val="18"/>
          <w:color w:val="auto"/>
        </w:rPr>
        <w:t>. Originator represents and warrants to Buyer, and Buyer represents and warrants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Originator, as of the date hereof and as of each date on which a purchase and sale or contribution, as applicable, is made hereunder, as follows:</w:t>
      </w:r>
    </w:p>
    <w:p>
      <w:pPr>
        <w:spacing w:after="0" w:line="207" w:lineRule="exact"/>
        <w:rPr>
          <w:sz w:val="20"/>
          <w:szCs w:val="20"/>
          <w:color w:val="auto"/>
        </w:rPr>
      </w:pPr>
    </w:p>
    <w:p>
      <w:pPr>
        <w:jc w:val="both"/>
        <w:ind w:left="740" w:firstLine="646"/>
        <w:spacing w:after="0" w:line="256" w:lineRule="auto"/>
        <w:tabs>
          <w:tab w:leader="none" w:pos="1781"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 It has been duly organized in, and is validly existing as a corporation or limited liability company, as applicable, in good standing under the Laws of its jurisdiction of organization, with power and authority to own its properties and to conduct its business as such properties are presently owned and such business is presently conducted and will be conducted as contemplated herein and had at all relevant times, and now has, all necessary power, authority, and legal right to carry out the transactions contemplated in this Agreement, except, solely with respect to the Originator, where failure would not reasonably be expected to have individually or in the aggregate, a Material Adverse Effect.</w:t>
      </w:r>
    </w:p>
    <w:p>
      <w:pPr>
        <w:spacing w:after="0" w:line="187"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845"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w:t>
      </w:r>
      <w:r>
        <w:rPr>
          <w:rFonts w:ascii="Times New Roman" w:cs="Times New Roman" w:eastAsia="Times New Roman" w:hAnsi="Times New Roman"/>
          <w:sz w:val="18"/>
          <w:szCs w:val="18"/>
          <w:color w:val="auto"/>
        </w:rPr>
        <w:t>. It is duly qualified to do business as a foreign organization, in good standing, and has obtained all necessary licenses and approvals, in all jurisdictions in which the ownership or lease of property or the conduct of its business requires such qualifications, licenses or approvals, except solely with respect to Originator, where the failure to do so would not reasonably be expected to have,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ind w:left="740" w:firstLine="646"/>
        <w:spacing w:after="0" w:line="282" w:lineRule="auto"/>
        <w:tabs>
          <w:tab w:leader="none" w:pos="1849"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Authority; Due Authorization</w:t>
      </w:r>
      <w:r>
        <w:rPr>
          <w:rFonts w:ascii="Times New Roman" w:cs="Times New Roman" w:eastAsia="Times New Roman" w:hAnsi="Times New Roman"/>
          <w:sz w:val="18"/>
          <w:szCs w:val="18"/>
          <w:color w:val="auto"/>
        </w:rPr>
        <w:t>. It (i) has all necessary power, authority and legal right to (A) execute and deliver this Agreement and the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556" w:name="page557"/>
    <w:bookmarkEnd w:id="556"/>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Transaction Documents to which it is a party in any capacity, (B) carry out the terms of the Transaction Documents to which it is a party, (C) with respect to Originator, sell, assign or contribute the Receivables and the Related Assets on the terms and conditions herein provided and (D) with respect to Buyer, purchase, acquire and own the Receivables and the Related Assets on the terms and conditions herein provided and (ii) has duly authorized by all necessary corporate or limited liability company action, as applicable, the execution, delivery and performance of this Agreement and the other Transaction Documents to which it is a party in its capacity and on the terms and conditions herein or therein provided.</w:t>
      </w:r>
    </w:p>
    <w:p>
      <w:pPr>
        <w:spacing w:after="0" w:line="184" w:lineRule="exact"/>
        <w:rPr>
          <w:sz w:val="20"/>
          <w:szCs w:val="20"/>
          <w:color w:val="auto"/>
        </w:rPr>
      </w:pPr>
    </w:p>
    <w:p>
      <w:pPr>
        <w:jc w:val="both"/>
        <w:ind w:left="3" w:firstLine="646"/>
        <w:spacing w:after="0" w:line="258" w:lineRule="auto"/>
        <w:tabs>
          <w:tab w:leader="none" w:pos="1135"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Obligations</w:t>
      </w:r>
      <w:r>
        <w:rPr>
          <w:rFonts w:ascii="Times New Roman" w:cs="Times New Roman" w:eastAsia="Times New Roman" w:hAnsi="Times New Roman"/>
          <w:sz w:val="18"/>
          <w:szCs w:val="18"/>
          <w:color w:val="auto"/>
        </w:rPr>
        <w:t>. This Agreement constitutes, and each other Transaction Document to be signed by such party when duly executed and delivered by it will constitute, a legal, valid and binding obligation of such party, enforceable against such party in accordance with its terms, except as enforceability may be limited by bankruptcy, insolvency, reorganization, and other similar Laws affecting the enforcement of creditors’ rights generally and by general principles of equity, regardless of whether such enforceability is considered in a proceeding in equity or at Law.</w:t>
      </w:r>
    </w:p>
    <w:p>
      <w:pPr>
        <w:spacing w:after="0" w:line="183" w:lineRule="exact"/>
        <w:rPr>
          <w:rFonts w:ascii="Times New Roman" w:cs="Times New Roman" w:eastAsia="Times New Roman" w:hAnsi="Times New Roman"/>
          <w:sz w:val="18"/>
          <w:szCs w:val="18"/>
          <w:color w:val="auto"/>
        </w:rPr>
      </w:pPr>
    </w:p>
    <w:p>
      <w:pPr>
        <w:jc w:val="both"/>
        <w:ind w:left="3" w:firstLine="646"/>
        <w:spacing w:after="0" w:line="261" w:lineRule="auto"/>
        <w:tabs>
          <w:tab w:leader="none" w:pos="1057"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consummation of the transactions contemplated by this Agreement and the other Transaction Documents and the fulfillment of the terms hereof and thereof will not, (i) conflict with, result in any breach or (without notice or lapse of time or both) a default under</w:t>
      </w:r>
    </w:p>
    <w:p>
      <w:pPr>
        <w:jc w:val="both"/>
        <w:ind w:left="3" w:hanging="3"/>
        <w:spacing w:after="0" w:line="216" w:lineRule="exact"/>
        <w:tabs>
          <w:tab w:leader="none" w:pos="314"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articles or certificate of incorporation,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laws, certificate of formation or limited liability company agreement, as applicable, or (B) any indenture, loan agreement, asset purchase agreement, mortgage, deed of trust, or other agreement or instrument to which it is a party or by which it or any of its properties is bound, (ii) result in the creation or imposition of any Lien upon any of its material properties pursuant to the terms of any such indenture, loan agreement, asset purchase agreement, mortgage, deed of trust, or other agreement or instrument to which it is a party or by which it or any of its material properties is bound, other than any Lien created in connection with this Agreement and the other Transaction Documents, or (iii) violate any Law applicable to it of any Governmental Authority having jurisdiction over it or any of its properties; except with respect to any violation or default referred to in </w:t>
      </w:r>
      <w:r>
        <w:rPr>
          <w:rFonts w:ascii="Times New Roman" w:cs="Times New Roman" w:eastAsia="Times New Roman" w:hAnsi="Times New Roman"/>
          <w:sz w:val="18"/>
          <w:szCs w:val="18"/>
          <w:u w:val="single" w:color="auto"/>
          <w:color w:val="auto"/>
        </w:rPr>
        <w:t>clauses (i)(B)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with respect to the Originator,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with respect to the Buyer, to the extent that such violation or default could, individually or in the aggregate, not reasonably be expected to have a Material Adverse Effect.</w:t>
      </w:r>
    </w:p>
    <w:p>
      <w:pPr>
        <w:spacing w:after="0" w:line="202" w:lineRule="exact"/>
        <w:rPr>
          <w:rFonts w:ascii="Times New Roman" w:cs="Times New Roman" w:eastAsia="Times New Roman" w:hAnsi="Times New Roman"/>
          <w:sz w:val="18"/>
          <w:szCs w:val="18"/>
          <w:color w:val="auto"/>
        </w:rPr>
      </w:pPr>
    </w:p>
    <w:p>
      <w:pPr>
        <w:ind w:left="1003" w:hanging="354"/>
        <w:spacing w:after="0"/>
        <w:tabs>
          <w:tab w:leader="none" w:pos="1003"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Bulk Sales Act</w:t>
      </w:r>
      <w:r>
        <w:rPr>
          <w:rFonts w:ascii="Times New Roman" w:cs="Times New Roman" w:eastAsia="Times New Roman" w:hAnsi="Times New Roman"/>
          <w:sz w:val="18"/>
          <w:szCs w:val="18"/>
          <w:color w:val="auto"/>
        </w:rPr>
        <w:t>. No transaction contemplated hereby requires compliance by it with any bulk sales act or similar Law.</w:t>
      </w:r>
    </w:p>
    <w:p>
      <w:pPr>
        <w:spacing w:after="0" w:line="225" w:lineRule="exact"/>
        <w:rPr>
          <w:rFonts w:ascii="Times New Roman" w:cs="Times New Roman" w:eastAsia="Times New Roman" w:hAnsi="Times New Roman"/>
          <w:sz w:val="18"/>
          <w:szCs w:val="18"/>
          <w:color w:val="auto"/>
        </w:rPr>
      </w:pPr>
    </w:p>
    <w:p>
      <w:pPr>
        <w:jc w:val="both"/>
        <w:ind w:left="3" w:firstLine="646"/>
        <w:spacing w:after="0" w:line="258" w:lineRule="auto"/>
        <w:tabs>
          <w:tab w:leader="none" w:pos="1149"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Solely with respect to the Buyer, to the knowledge of the Primary Officer of the Buyer, no actions, suits or proceedings are pending or threatened before, and no investigations, injunctions, decrees or other decisions have been issued or will be issued by any Governmental Authority, that could reasonably be expected to have, individually or in the aggregate, a Material Adverse Effect, and (ii) to the knowledge of the Primary Officer of the Buyer, no threat by any Person has been made to attempt to (A) invalidate this Agreement or any of the other Transaction Documents to which it is a party, (B) prevent the servicing of the Receivables or the</w:t>
      </w:r>
    </w:p>
    <w:p>
      <w:pPr>
        <w:spacing w:after="0" w:line="200" w:lineRule="exact"/>
        <w:rPr>
          <w:sz w:val="20"/>
          <w:szCs w:val="20"/>
          <w:color w:val="auto"/>
        </w:rPr>
      </w:pPr>
    </w:p>
    <w:p>
      <w:pPr>
        <w:spacing w:after="0" w:line="227" w:lineRule="exact"/>
        <w:rPr>
          <w:sz w:val="20"/>
          <w:szCs w:val="20"/>
          <w:color w:val="auto"/>
        </w:rPr>
      </w:pPr>
    </w:p>
    <w:p>
      <w:pPr>
        <w:ind w:left="49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3"/>
          </w:cols>
          <w:pgMar w:left="977" w:top="364" w:right="239" w:bottom="1440" w:gutter="0" w:footer="0" w:header="0"/>
        </w:sectPr>
      </w:pPr>
    </w:p>
    <w:bookmarkStart w:id="557" w:name="page558"/>
    <w:bookmarkEnd w:id="557"/>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consummation of the purposes of this Agreement or of any of the other Transaction Documents to which it is a party, or (C) obtain any injunction, decree or other decision against it that could reasonably be expected to have, individually or in the aggregate, a Material Adverse Effect or would prevent it from conducting its business operations related to the Receivables, its providing for the servicing of the Receivables or the performance of its duties and obligations hereunder or under the other Transaction Documents to which it is a party.</w:t>
      </w:r>
    </w:p>
    <w:p>
      <w:pPr>
        <w:spacing w:after="0" w:line="180" w:lineRule="exact"/>
        <w:rPr>
          <w:sz w:val="20"/>
          <w:szCs w:val="20"/>
          <w:color w:val="auto"/>
        </w:rPr>
      </w:pPr>
    </w:p>
    <w:p>
      <w:pPr>
        <w:jc w:val="both"/>
        <w:ind w:left="740" w:firstLine="646"/>
        <w:spacing w:after="0" w:line="261" w:lineRule="auto"/>
        <w:tabs>
          <w:tab w:leader="none" w:pos="1899"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No authorization or approval or other action by, and no notice to or filing with, any Governmental Authority is required for the due execution, delivery and performance by it of this Agreement or any other Transaction Document to which it is a party or the transactions contemplated thereby, except for the filing of the UCC financing statements referred to in this Agreement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Receivables Purchase Agreement, all of which shall have been duly made and shall be in full force and effect.</w:t>
      </w:r>
    </w:p>
    <w:p>
      <w:pPr>
        <w:spacing w:after="0" w:line="180" w:lineRule="exact"/>
        <w:rPr>
          <w:rFonts w:ascii="Times New Roman" w:cs="Times New Roman" w:eastAsia="Times New Roman" w:hAnsi="Times New Roman"/>
          <w:sz w:val="18"/>
          <w:szCs w:val="18"/>
          <w:color w:val="auto"/>
        </w:rPr>
      </w:pPr>
    </w:p>
    <w:p>
      <w:pPr>
        <w:ind w:left="740" w:right="20" w:firstLine="646"/>
        <w:spacing w:after="0" w:line="282" w:lineRule="auto"/>
        <w:tabs>
          <w:tab w:leader="none" w:pos="184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It is not (i) required to register as an “Investment Company” or (ii) “controlled” by an “Investment Company”, under (and as to each such term, as defined in) the Investment Company Act.</w:t>
      </w:r>
    </w:p>
    <w:p>
      <w:pPr>
        <w:spacing w:after="0" w:line="161"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752"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Each remittance of Collections on the Receivables transferred by Originator to Buyer (or its assignees) under this Agreement or pursuant to the other Transaction Documents will have been (i) in payment of a debt incurred by Originator in the ordinary course of business or financial affairs of Originator and Buyer and (ii) made in the ordinary course of business or financial affairs of Originator and Buyer.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Additional Representations and Warranties of Originator</w:t>
      </w:r>
      <w:r>
        <w:rPr>
          <w:rFonts w:ascii="Times New Roman" w:cs="Times New Roman" w:eastAsia="Times New Roman" w:hAnsi="Times New Roman"/>
          <w:sz w:val="18"/>
          <w:szCs w:val="18"/>
          <w:color w:val="auto"/>
        </w:rPr>
        <w:t>. Originator represents and warrants to Buyer as of the date hereof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each date on which a purchase and sale or contribution, as applicable, is made hereunder (except for the representation in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which is made only as of the date hereof), as follows:</w:t>
      </w:r>
    </w:p>
    <w:p>
      <w:pPr>
        <w:spacing w:after="0" w:line="175" w:lineRule="exact"/>
        <w:rPr>
          <w:sz w:val="20"/>
          <w:szCs w:val="20"/>
          <w:color w:val="auto"/>
        </w:rPr>
      </w:pPr>
    </w:p>
    <w:p>
      <w:pPr>
        <w:jc w:val="both"/>
        <w:ind w:left="740" w:firstLine="646"/>
        <w:spacing w:after="0" w:line="256" w:lineRule="auto"/>
        <w:tabs>
          <w:tab w:leader="none" w:pos="1781"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Sale</w:t>
      </w:r>
      <w:r>
        <w:rPr>
          <w:rFonts w:ascii="Times New Roman" w:cs="Times New Roman" w:eastAsia="Times New Roman" w:hAnsi="Times New Roman"/>
          <w:sz w:val="18"/>
          <w:szCs w:val="18"/>
          <w:color w:val="auto"/>
        </w:rPr>
        <w:t xml:space="preserve">. This Agreement constitutes an absolute and irrevocable valid sale, transfer and assignment or contribution, as applicable, of the Receivables originated by Originator and the Related Assets to Buyer, or alternatively the granting of a valid security interest in the Receivables and the Related Assets to Buyer, enforceable against creditors of, and purchasers from Originator. The Purchase Price payable for any Receivable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constitutes fair consideration and reasonably equivalent value for such Receivable and the Related Assets and is comparable to the sale price for such assets that could generally be obtained by Originator in the marketplace from unaffiliated Persons in comparable transactions.</w:t>
      </w:r>
    </w:p>
    <w:p>
      <w:pPr>
        <w:spacing w:after="0" w:line="187" w:lineRule="exact"/>
        <w:rPr>
          <w:rFonts w:ascii="Times New Roman" w:cs="Times New Roman" w:eastAsia="Times New Roman" w:hAnsi="Times New Roman"/>
          <w:sz w:val="18"/>
          <w:szCs w:val="18"/>
          <w:color w:val="auto"/>
        </w:rPr>
      </w:pPr>
    </w:p>
    <w:p>
      <w:pPr>
        <w:ind w:left="740" w:right="20" w:firstLine="646"/>
        <w:spacing w:after="0" w:line="282" w:lineRule="auto"/>
        <w:tabs>
          <w:tab w:leader="none" w:pos="1859"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use of all funds obtained by Originator under this Agreement will not conflict with or contravene any of Regulations T, U and X promulgated by the Board of Governors of the Federal Reserve System.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558" w:name="page559"/>
    <w:bookmarkEnd w:id="558"/>
    <w:p>
      <w:pPr>
        <w:jc w:val="both"/>
        <w:ind w:left="-460" w:firstLine="646"/>
        <w:spacing w:after="0" w:line="253" w:lineRule="auto"/>
        <w:tabs>
          <w:tab w:leader="none" w:pos="56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of Title</w:t>
      </w:r>
      <w:r>
        <w:rPr>
          <w:rFonts w:ascii="Times New Roman" w:cs="Times New Roman" w:eastAsia="Times New Roman" w:hAnsi="Times New Roman"/>
          <w:sz w:val="18"/>
          <w:szCs w:val="18"/>
          <w:color w:val="auto"/>
        </w:rPr>
        <w:t>. Prior to its sale or contribution (or simultaneously with such sale or contribution), as applicable, to Buyer hereunder, each Receivable, together with the Related Assets, is owned by it free and clear of any Lien (other than any Lien arising under any Transaction Document); when Buyer makes a purchase or acquires such Receivable and Related Assets by contribution, as applicable, Buyer shall have acquired, for fair consideration and reasonably equivalent value (and Originator represents and warrants that it has taken all steps under the UCC necessary to transfer such good title and ownership interests in such assets), free and clear of any Lien (other than any Lien arising under any Transaction Document or solely as the result of any action taken by Buyer or Agent (or any assignee thereof) pursuant to the Receivables Purchase Agreement); and no financing statement or other instrument similar in effect covering any Receivable, any interest therein, and the Related Assets is on file in any recording office, except such as may be filed (i) in favor of Originator or Buyer in accordance with the Contracts or any Transaction Document (and assigned to Agent), (ii) in favor of Buyer in accordance with this Agreement or any Transaction Document (and assigned to the Agent), (iii) in connection with any Lien arising solely as the result of any action taken by Agent (or any assignee thereof) or (iv) in favor of any Purchaser or Agent in accordance with the Receivables Purchase Agreement or any Transaction Document.</w:t>
      </w:r>
    </w:p>
    <w:p>
      <w:pPr>
        <w:spacing w:after="0" w:line="192"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57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Reports</w:t>
      </w:r>
      <w:r>
        <w:rPr>
          <w:rFonts w:ascii="Times New Roman" w:cs="Times New Roman" w:eastAsia="Times New Roman" w:hAnsi="Times New Roman"/>
          <w:sz w:val="18"/>
          <w:szCs w:val="18"/>
          <w:color w:val="auto"/>
        </w:rPr>
        <w:t>. No Information Package (to the extent information therein was supplied by Originator or any of its Subsidiaries or Affiliates) or any other information, exhibit, financial statement, document, book, record or report furnished or to be furnished by or on behalf of Originator to Buyer, Agent, any Liquidity Provider, Purchaser, Purchaser Agent, any LOC Issuer or any other Secured Party in connection with this Agreement, the Receivables Purchase Agreement or any other Transaction Document (including by Servicer) was or will be untrue or inaccurate in any material respect as of the date it was or will be dated or (except as otherwise disclosed in writing to Agent, Buyer, Purchasers, Purchaser Agents, LOC Issuer and such Liquidity Providers at such time and such other Secured Parties at such time) as of the date so furnished.</w:t>
      </w:r>
    </w:p>
    <w:p>
      <w:pPr>
        <w:spacing w:after="0" w:line="187"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64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Details</w:t>
      </w:r>
      <w:r>
        <w:rPr>
          <w:rFonts w:ascii="Times New Roman" w:cs="Times New Roman" w:eastAsia="Times New Roman" w:hAnsi="Times New Roman"/>
          <w:sz w:val="18"/>
          <w:szCs w:val="18"/>
          <w:color w:val="auto"/>
        </w:rPr>
        <w:t xml:space="preserve">. Originator’s true legal name as registered in the sole jurisdiction in which it is organized, the jurisdiction of such organization, its organizational identification number, if any, as designated by the jurisdiction of its organization, its federal employer identification number, if any, and the location of its chief executive office and principal place of business are specified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Except as described in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Originator has no, and has never had any, trade names, fictitious names, assumed names or “doing business as” names and Originator has never changed the location of its chief executive office or its true legal name, identity or corporate structure. Originator is organized only in a single jurisdiction.</w:t>
      </w:r>
    </w:p>
    <w:p>
      <w:pPr>
        <w:spacing w:after="0" w:line="159" w:lineRule="exact"/>
        <w:rPr>
          <w:rFonts w:ascii="Times New Roman" w:cs="Times New Roman" w:eastAsia="Times New Roman" w:hAnsi="Times New Roman"/>
          <w:sz w:val="18"/>
          <w:szCs w:val="18"/>
          <w:color w:val="auto"/>
        </w:rPr>
      </w:pPr>
    </w:p>
    <w:p>
      <w:pPr>
        <w:jc w:val="both"/>
        <w:ind w:left="-460" w:firstLine="646"/>
        <w:spacing w:after="0" w:line="232" w:lineRule="exact"/>
        <w:tabs>
          <w:tab w:leader="none" w:pos="54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Lock-Box Accounts</w:t>
      </w:r>
      <w:r>
        <w:rPr>
          <w:rFonts w:ascii="Times New Roman" w:cs="Times New Roman" w:eastAsia="Times New Roman" w:hAnsi="Times New Roman"/>
          <w:sz w:val="18"/>
          <w:szCs w:val="18"/>
          <w:color w:val="auto"/>
        </w:rPr>
        <w:t>. The names and addresses of all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Box Banks, together with the account numbers of the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box accounts of Originator at such Lock-Box Banks, are specified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(or have been notified to and approved by Buyer and by Agent and each Purchaser Agent in accordance with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of the Receivables Purchase Agreement).</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0"/>
          </w:cols>
          <w:pgMar w:left="1440" w:top="364" w:right="239" w:bottom="1440" w:gutter="0" w:footer="0" w:header="0"/>
        </w:sectPr>
      </w:pPr>
    </w:p>
    <w:bookmarkStart w:id="559" w:name="page560"/>
    <w:bookmarkEnd w:id="559"/>
    <w:p>
      <w:pPr>
        <w:ind w:left="580" w:hanging="394"/>
        <w:spacing w:after="0"/>
        <w:tabs>
          <w:tab w:leader="none" w:pos="58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6"/>
        <w:spacing w:after="0" w:line="261" w:lineRule="auto"/>
        <w:tabs>
          <w:tab w:leader="none" w:pos="60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 and Status</w:t>
      </w:r>
      <w:r>
        <w:rPr>
          <w:rFonts w:ascii="Times New Roman" w:cs="Times New Roman" w:eastAsia="Times New Roman" w:hAnsi="Times New Roman"/>
          <w:sz w:val="18"/>
          <w:szCs w:val="18"/>
          <w:color w:val="auto"/>
        </w:rPr>
        <w:t>. Originator has (i) timely filed all United States Federal income tax returns and all other material tax returns required to be filed by it and (B) paid or made adequate provision for the payment of all taxes, assessments and other governmental charges (other than such taxes, assessments and other governmental charges the validity of which is being contested in good faith or to the extent that failure to do so could not, individually or in the aggregate, reasonably be expected to result in a Material Adverse Effect).</w:t>
      </w:r>
    </w:p>
    <w:p>
      <w:pPr>
        <w:spacing w:after="0" w:line="180" w:lineRule="exact"/>
        <w:rPr>
          <w:rFonts w:ascii="Times New Roman" w:cs="Times New Roman" w:eastAsia="Times New Roman" w:hAnsi="Times New Roman"/>
          <w:sz w:val="18"/>
          <w:szCs w:val="18"/>
          <w:color w:val="auto"/>
        </w:rPr>
      </w:pPr>
    </w:p>
    <w:p>
      <w:pPr>
        <w:jc w:val="both"/>
        <w:ind w:left="-460" w:firstLine="646"/>
        <w:spacing w:after="0" w:line="313" w:lineRule="auto"/>
        <w:tabs>
          <w:tab w:leader="none" w:pos="633"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Servicing Programs</w:t>
      </w:r>
      <w:r>
        <w:rPr>
          <w:rFonts w:ascii="Times New Roman" w:cs="Times New Roman" w:eastAsia="Times New Roman" w:hAnsi="Times New Roman"/>
          <w:sz w:val="17"/>
          <w:szCs w:val="17"/>
          <w:color w:val="auto"/>
        </w:rPr>
        <w:t>. No material license or approval is required for Servicer’s, Buyer’s or Agent’s use of any software or other computer program used by Originator in the servicing of the Receivables, other than those which have been obtained and are in full force and effect.</w:t>
      </w:r>
    </w:p>
    <w:p>
      <w:pPr>
        <w:spacing w:after="0" w:line="138" w:lineRule="exact"/>
        <w:rPr>
          <w:rFonts w:ascii="Times New Roman" w:cs="Times New Roman" w:eastAsia="Times New Roman" w:hAnsi="Times New Roman"/>
          <w:sz w:val="17"/>
          <w:szCs w:val="17"/>
          <w:color w:val="auto"/>
        </w:rPr>
      </w:pPr>
    </w:p>
    <w:p>
      <w:pPr>
        <w:jc w:val="both"/>
        <w:ind w:left="-460" w:firstLine="646"/>
        <w:spacing w:after="0" w:line="261" w:lineRule="auto"/>
        <w:tabs>
          <w:tab w:leader="none" w:pos="552"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 Law</w:t>
      </w:r>
      <w:r>
        <w:rPr>
          <w:rFonts w:ascii="Times New Roman" w:cs="Times New Roman" w:eastAsia="Times New Roman" w:hAnsi="Times New Roman"/>
          <w:sz w:val="18"/>
          <w:szCs w:val="18"/>
          <w:color w:val="auto"/>
        </w:rPr>
        <w:t>. Originator has complied with its Credit and Collection Policies in all material respects and such policies have not changed in any material respect since the Closing Date, except with the prior written consent of Buyer, Agent and each Purchaser Agent. Originator has complied with all applicable Law except where such noncompliance, individually or in the aggregate, would not, individually or in the aggregate, have a Material Adverse Effect.</w:t>
      </w:r>
    </w:p>
    <w:p>
      <w:pPr>
        <w:spacing w:after="0" w:line="180" w:lineRule="exact"/>
        <w:rPr>
          <w:rFonts w:ascii="Times New Roman" w:cs="Times New Roman" w:eastAsia="Times New Roman" w:hAnsi="Times New Roman"/>
          <w:sz w:val="18"/>
          <w:szCs w:val="18"/>
          <w:color w:val="auto"/>
        </w:rPr>
      </w:pPr>
    </w:p>
    <w:p>
      <w:pPr>
        <w:jc w:val="both"/>
        <w:ind w:left="-460" w:firstLine="646"/>
        <w:spacing w:after="0" w:line="261" w:lineRule="auto"/>
        <w:tabs>
          <w:tab w:leader="none" w:pos="659"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Each Receivable shall be an Eligible Receivable on the date of any sale or contribution hereunder, unless otherwise specified in the first Information Package that includes such Receivable and each Receivable represented by it in any capacity in any Information Package or other report or written statement provided to Buyer (or its assignees) as an Eligible Receivable was an Eligible Receivable when so included or reported.</w:t>
      </w:r>
    </w:p>
    <w:p>
      <w:pPr>
        <w:spacing w:after="0" w:line="180" w:lineRule="exact"/>
        <w:rPr>
          <w:rFonts w:ascii="Times New Roman" w:cs="Times New Roman" w:eastAsia="Times New Roman" w:hAnsi="Times New Roman"/>
          <w:sz w:val="18"/>
          <w:szCs w:val="18"/>
          <w:color w:val="auto"/>
        </w:rPr>
      </w:pPr>
    </w:p>
    <w:p>
      <w:pPr>
        <w:ind w:left="-460" w:firstLine="646"/>
        <w:spacing w:after="0" w:line="282" w:lineRule="auto"/>
        <w:tabs>
          <w:tab w:leader="none" w:pos="538"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 in Receivables</w:t>
      </w:r>
      <w:r>
        <w:rPr>
          <w:rFonts w:ascii="Times New Roman" w:cs="Times New Roman" w:eastAsia="Times New Roman" w:hAnsi="Times New Roman"/>
          <w:sz w:val="18"/>
          <w:szCs w:val="18"/>
          <w:color w:val="auto"/>
        </w:rPr>
        <w:t>. Solely as of the date hereof, since November 30, 2014, there has been no material adverse change in the value, validity, enforceability, collectability or the payment history of the Receivables originated by Originator.</w:t>
      </w:r>
    </w:p>
    <w:p>
      <w:pPr>
        <w:spacing w:after="0" w:line="161"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69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xml:space="preserve">. (i) The consolidated financial statements of Performance Guarantor (or following the consummation of the Specified Acquisition Transaction, New Mylan) delivered in connection with the Closing Date or, if later, most recently delivered pursuant to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are true and correct in all material respects and present fairly in all material respects the consolidated financial condition and operations of MPI and Performance Guarantor (or following the consummation of the Specified Acquisition Transaction, New Mylan) as of such date, and its results of operations as of the dates and for the period then ended, all in accordance with generally accepted accounting principles consistently applied.</w:t>
      </w:r>
    </w:p>
    <w:p>
      <w:pPr>
        <w:spacing w:after="0" w:line="187" w:lineRule="exact"/>
        <w:rPr>
          <w:rFonts w:ascii="Times New Roman" w:cs="Times New Roman" w:eastAsia="Times New Roman" w:hAnsi="Times New Roman"/>
          <w:sz w:val="18"/>
          <w:szCs w:val="18"/>
          <w:color w:val="auto"/>
        </w:rPr>
      </w:pPr>
    </w:p>
    <w:p>
      <w:pPr>
        <w:ind w:left="-460" w:firstLine="646"/>
        <w:spacing w:after="0" w:line="282" w:lineRule="auto"/>
        <w:tabs>
          <w:tab w:leader="none" w:pos="60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could reasonably be expected to result in a Material Adverse Effect, Originator, Performance Guarantor and their respective ERISA Affiliates have fulfilled their respective obligations under the minimum funding</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1440" w:top="365" w:right="239" w:bottom="1440" w:gutter="0" w:footer="0" w:header="0"/>
        </w:sectPr>
      </w:pPr>
    </w:p>
    <w:bookmarkStart w:id="560" w:name="page561"/>
    <w:bookmarkEnd w:id="560"/>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standards of ERISA and the Code with respect to each employee benefit plan of Originator or Performance Guarantor subject to such standards and is in compliance in all material respects with the applicable provisions of ERISA, and has not incurred any liability to the Pension Benefit Guaranty Corporation or any employee benefit plan of Originator under Title IV of ERISA other than a liability to the Pension Benefit Guaranty Corporation for premiums under Section 4007 of ERISA or any employee benefit plan of Originator or Performance Guarantor under Title IV of ERISA with respect to a plan termination under Section 4007 of ERISA. No steps have been taken by any Person to terminate any Plan the assets of which are not sufficient to satisfy all of its benefit liabilities under Title IV of ERISA, except to the extent such steps or such termination could not reasonably be expected to result in a Material Adverse Effect.</w:t>
      </w:r>
    </w:p>
    <w:p>
      <w:pPr>
        <w:spacing w:after="0" w:line="189" w:lineRule="exact"/>
        <w:rPr>
          <w:sz w:val="20"/>
          <w:szCs w:val="20"/>
          <w:color w:val="auto"/>
        </w:rPr>
      </w:pPr>
    </w:p>
    <w:p>
      <w:pPr>
        <w:jc w:val="both"/>
        <w:ind w:left="80" w:firstLine="646"/>
        <w:spacing w:after="0" w:line="266" w:lineRule="auto"/>
        <w:tabs>
          <w:tab w:leader="none" w:pos="1172"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Event of Default</w:t>
      </w:r>
      <w:r>
        <w:rPr>
          <w:rFonts w:ascii="Times New Roman" w:cs="Times New Roman" w:eastAsia="Times New Roman" w:hAnsi="Times New Roman"/>
          <w:sz w:val="18"/>
          <w:szCs w:val="18"/>
          <w:color w:val="auto"/>
        </w:rPr>
        <w:t>. No event has occurred and is continuing and no condition exists, or would result from the sale, transfer and assignment or contribution of the Receivables originated by Originator, that constitutes or may reasonably be expected to constitute an Event of Default.</w:t>
      </w:r>
    </w:p>
    <w:p>
      <w:pPr>
        <w:spacing w:after="0" w:line="176" w:lineRule="exact"/>
        <w:rPr>
          <w:rFonts w:ascii="Times New Roman" w:cs="Times New Roman" w:eastAsia="Times New Roman" w:hAnsi="Times New Roman"/>
          <w:sz w:val="18"/>
          <w:szCs w:val="18"/>
          <w:color w:val="auto"/>
        </w:rPr>
      </w:pPr>
    </w:p>
    <w:p>
      <w:pPr>
        <w:jc w:val="both"/>
        <w:ind w:left="80" w:firstLine="646"/>
        <w:spacing w:after="0" w:line="257" w:lineRule="auto"/>
        <w:tabs>
          <w:tab w:leader="none" w:pos="1172"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Neither Originator nor any subsidiary thereof is (i) an OFAC Listed Person or a Person sanctioned by the United States of America pursuant to any of the regulations administered or enforced by OFAC (31 C.F.R., Subtitle B, Chapter V, as amended); or (ii) a department, agency or instrumentality of, or is otherwise controlled by or acting on behalf of, directly or indirectly, (x) any OFAC Listed Person, or</w:t>
      </w:r>
    </w:p>
    <w:p>
      <w:pPr>
        <w:spacing w:after="0" w:line="1" w:lineRule="exact"/>
        <w:rPr>
          <w:rFonts w:ascii="Times New Roman" w:cs="Times New Roman" w:eastAsia="Times New Roman" w:hAnsi="Times New Roman"/>
          <w:sz w:val="18"/>
          <w:szCs w:val="18"/>
          <w:color w:val="auto"/>
        </w:rPr>
      </w:pPr>
    </w:p>
    <w:p>
      <w:pPr>
        <w:ind w:left="340" w:hanging="263"/>
        <w:spacing w:after="0"/>
        <w:tabs>
          <w:tab w:leader="none" w:pos="34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any OFAC Country.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Originator represents and covenants that it does not, either in its own right or through any third party, absent valid and effective license and permits issued by the government of the United Sates or otherwise in accordance with applicable Laws, (i) have any of its assets in a OFAC Country or in the possession, custody or control of a OFAC Listed Person; (ii) do business in or with, or derive any of its income from investments in or transactions with, any OFAC Country or OFAC Listed Person; or (iii) engage in any dealings or transactions that would result in any violation by the Originator, Buyer, any Purchaser, any Purchaser Agent or the Agent of the sanctions administered or enforced by OFAC (31 C.F.R., Subtitle B, Chapter V, as amended).</w:t>
      </w:r>
    </w:p>
    <w:p>
      <w:pPr>
        <w:spacing w:after="0" w:line="188" w:lineRule="exact"/>
        <w:rPr>
          <w:sz w:val="20"/>
          <w:szCs w:val="20"/>
          <w:color w:val="auto"/>
        </w:rPr>
      </w:pPr>
    </w:p>
    <w:p>
      <w:pPr>
        <w:jc w:val="both"/>
        <w:ind w:left="80" w:firstLine="646"/>
        <w:spacing w:after="0" w:line="258" w:lineRule="auto"/>
        <w:tabs>
          <w:tab w:leader="none" w:pos="1172"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and Anti-Money Laundering Laws</w:t>
      </w:r>
      <w:r>
        <w:rPr>
          <w:rFonts w:ascii="Times New Roman" w:cs="Times New Roman" w:eastAsia="Times New Roman" w:hAnsi="Times New Roman"/>
          <w:sz w:val="18"/>
          <w:szCs w:val="18"/>
          <w:color w:val="auto"/>
        </w:rPr>
        <w:t>. Originator and its subsidiaries are in compliance, in all material respects, with the USA PATRIOT Act. No part of the proceeds of any sale of Receivables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3" w:lineRule="exact"/>
        <w:rPr>
          <w:rFonts w:ascii="Times New Roman" w:cs="Times New Roman" w:eastAsia="Times New Roman" w:hAnsi="Times New Roman"/>
          <w:sz w:val="18"/>
          <w:szCs w:val="18"/>
          <w:color w:val="auto"/>
        </w:rPr>
      </w:pPr>
    </w:p>
    <w:p>
      <w:pPr>
        <w:jc w:val="both"/>
        <w:ind w:left="80" w:firstLine="646"/>
        <w:spacing w:after="0" w:line="266" w:lineRule="auto"/>
        <w:tabs>
          <w:tab w:leader="none" w:pos="1142"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Solely as of the date hereof, to the Primary Officer of Originator’s knowledge, no threat by any Person has been made to attempt to (A) invalidate this Agreement or any other Transaction Document to which it is a party, (B) prevent the servicing of the Receivables or the consummation of the purposes of this Agreement or of any of the other Transaction Documents to which it is a party, or (C)</w:t>
      </w:r>
    </w:p>
    <w:p>
      <w:pPr>
        <w:spacing w:after="0" w:line="200" w:lineRule="exact"/>
        <w:rPr>
          <w:sz w:val="20"/>
          <w:szCs w:val="20"/>
          <w:color w:val="auto"/>
        </w:rPr>
      </w:pP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900" w:top="364" w:right="239" w:bottom="1440" w:gutter="0" w:footer="0" w:header="0"/>
        </w:sectPr>
      </w:pPr>
    </w:p>
    <w:bookmarkStart w:id="561" w:name="page562"/>
    <w:bookmarkEnd w:id="561"/>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seek any determination or ruling that could reasonably be expected to materially and adversely affect (x) the performance by the Originator of its obligations under the Transaction Documents or (y) the validity or enforceability of the Transaction Documents, a material portion of the Contracts or any material amount of the Receivables.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COVENANTS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Mutual Covenants</w:t>
      </w:r>
      <w:r>
        <w:rPr>
          <w:rFonts w:ascii="Times New Roman" w:cs="Times New Roman" w:eastAsia="Times New Roman" w:hAnsi="Times New Roman"/>
          <w:sz w:val="18"/>
          <w:szCs w:val="18"/>
          <w:color w:val="auto"/>
        </w:rPr>
        <w:t>. At all times prior to the Final Payout Date, Buyer and Originator shall, unless Agent and each Purchaser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otherwise consent in writing:</w:t>
      </w:r>
    </w:p>
    <w:p>
      <w:pPr>
        <w:spacing w:after="0" w:line="159" w:lineRule="exact"/>
        <w:rPr>
          <w:sz w:val="20"/>
          <w:szCs w:val="20"/>
          <w:color w:val="auto"/>
        </w:rPr>
      </w:pPr>
    </w:p>
    <w:p>
      <w:pPr>
        <w:jc w:val="both"/>
        <w:ind w:left="740" w:firstLine="646"/>
        <w:spacing w:after="0" w:line="266" w:lineRule="auto"/>
        <w:tabs>
          <w:tab w:leader="none" w:pos="183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in all material respects with all applicable Laws with respect to it, the Receivables and the related Contracts except, solely with respect to Originator, to the extent such non compliance would not and could not reasonably be expected to have a Material Adverse Effect.</w:t>
      </w:r>
    </w:p>
    <w:p>
      <w:pPr>
        <w:spacing w:after="0" w:line="176"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778"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w:t>
      </w:r>
      <w:r>
        <w:rPr>
          <w:rFonts w:ascii="Times New Roman" w:cs="Times New Roman" w:eastAsia="Times New Roman" w:hAnsi="Times New Roman"/>
          <w:sz w:val="18"/>
          <w:szCs w:val="18"/>
          <w:color w:val="auto"/>
        </w:rPr>
        <w:t>. Except as expressly permitted by Section 5.4(e), preserve and maintain its existence, rights, franchises and privileges in the jurisdiction of its organization, and qualify and remain qualified in good standing as a foreign organization in each jurisdiction where the failure to qualify or preserve or maintain such existence, rights, franchises, privileges and qualification would or could reasonably be expected to have, individually or in the aggregate, a Material Adverse Effect.</w:t>
      </w:r>
    </w:p>
    <w:p>
      <w:pPr>
        <w:spacing w:after="0" w:line="180" w:lineRule="exact"/>
        <w:rPr>
          <w:rFonts w:ascii="Times New Roman" w:cs="Times New Roman" w:eastAsia="Times New Roman" w:hAnsi="Times New Roman"/>
          <w:sz w:val="18"/>
          <w:szCs w:val="18"/>
          <w:color w:val="auto"/>
        </w:rPr>
      </w:pPr>
    </w:p>
    <w:p>
      <w:pPr>
        <w:jc w:val="both"/>
        <w:ind w:left="740" w:firstLine="646"/>
        <w:spacing w:after="0" w:line="256" w:lineRule="auto"/>
        <w:tabs>
          <w:tab w:leader="none" w:pos="1768"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Separateness</w:t>
      </w:r>
      <w:r>
        <w:rPr>
          <w:rFonts w:ascii="Times New Roman" w:cs="Times New Roman" w:eastAsia="Times New Roman" w:hAnsi="Times New Roman"/>
          <w:sz w:val="18"/>
          <w:szCs w:val="18"/>
          <w:color w:val="auto"/>
        </w:rPr>
        <w:t xml:space="preserve">. (i) To the extent applicable to it, observe the applicable legal requirements for the recognition of Buyer as a legal entity separate and apart from MPI and any Affiliate of MPI, including complying with (and causing to be true and correct) each of the facts and assumptions contained in the opinions of external counsel delivered pursuant to or in connection with the Receivables Purchase Agreement or any other Transaction Document regarding “true sale” and “substantive consolidation” matters (and any later bring-downs or replacements of such opinions) and (ii) not take any actions inconsistent with the terms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of the Receivables Purchase Agreement or Buyer’s limited liability company agreement.</w:t>
      </w:r>
    </w:p>
    <w:p>
      <w:pPr>
        <w:spacing w:after="0" w:line="18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7"/>
          <w:szCs w:val="17"/>
          <w:u w:val="single" w:color="auto"/>
          <w:color w:val="auto"/>
        </w:rPr>
        <w:t>Additional Covenants of Originator</w:t>
      </w:r>
      <w:r>
        <w:rPr>
          <w:rFonts w:ascii="Times New Roman" w:cs="Times New Roman" w:eastAsia="Times New Roman" w:hAnsi="Times New Roman"/>
          <w:sz w:val="17"/>
          <w:szCs w:val="17"/>
          <w:color w:val="auto"/>
        </w:rPr>
        <w:t>. At all times prior to the Final Payout Date, Originator shall:</w:t>
      </w:r>
    </w:p>
    <w:p>
      <w:pPr>
        <w:spacing w:after="0" w:line="229" w:lineRule="exact"/>
        <w:rPr>
          <w:sz w:val="20"/>
          <w:szCs w:val="20"/>
          <w:color w:val="auto"/>
        </w:rPr>
      </w:pPr>
    </w:p>
    <w:p>
      <w:pPr>
        <w:jc w:val="both"/>
        <w:ind w:left="740" w:firstLine="646"/>
        <w:spacing w:after="0" w:line="258" w:lineRule="auto"/>
        <w:tabs>
          <w:tab w:leader="none" w:pos="1876"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(i) From time to time, upon reasonable prior notice and during regular business hours, permit any representatives designated by Buyer, each Purchaser, Purchaser Agent, each LOC Issuer, the Agent and any of their respective agents or representatives including certified public accountants or other auditors or consultants, on a coordinated basis (A) to examine and make copies of and abstracts from all Records in the possession or under the control of Originator or its Affiliates or agents, and (B) to visit the offices and properties of Originator or its agents for the purpose of examining such materials described in clause (A) above, and to discuss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64" w:right="239" w:bottom="1440" w:gutter="0" w:footer="0" w:header="0"/>
        </w:sectPr>
      </w:pPr>
    </w:p>
    <w:bookmarkStart w:id="562" w:name="page563"/>
    <w:bookmarkEnd w:id="562"/>
    <w:p>
      <w:pPr>
        <w:jc w:val="both"/>
        <w:spacing w:after="0" w:line="252" w:lineRule="auto"/>
        <w:rPr>
          <w:sz w:val="20"/>
          <w:szCs w:val="20"/>
          <w:color w:val="auto"/>
        </w:rPr>
      </w:pPr>
      <w:r>
        <w:rPr>
          <w:rFonts w:ascii="Times New Roman" w:cs="Times New Roman" w:eastAsia="Times New Roman" w:hAnsi="Times New Roman"/>
          <w:sz w:val="18"/>
          <w:szCs w:val="18"/>
          <w:color w:val="auto"/>
        </w:rPr>
        <w:t>matters relating to the Receivables originated by Originator or Originator’s performance hereunder with any of the officers or employees of Originator or its Affiliates having knowledge of such matters and (ii) use commercially reasonable efforts to make its independent accountants available to discuss the affairs, finances and condition of the Originator, all at such reasonable times and as often as reasonably requested and in all cases under clauses (i) and (ii) above subject to applicable Law and the terms of applicable confidentiality agreements; provided, that solely with respect to clauses (i)(B) and (ii) above, neither Originator nor any of its officers or agents shall be required to discuss any matters that Originator reasonably determines that the discussion of such matters (or the provision of written documents in respect thereof) will violate or result in the waiver of an applicable attorney-client privilege, but the foregoing will not limit the Originator’s obligation to provide the Records as well as payment information with respect to each Receivable to Buyer, each Purchaser, Purchaser Agent, each LOC Issuer, the Agent and their respective agents or representatives; provided, that (x) any Purchaser, any Purchaser Agent, each LOC Issuer, Agent and any of their respective agents or representatives including certified public accountants or other auditors or consultants will conduct such requests for visits and inspections through the Agent and (y) unless an Event of Default has occurred that has not been waived in accordance with the terms of the Receivables Purchase Agreement, such visits, inspections and discussions shall be limited to two per calendar year and at the costs and expense of the Purchasers; provided further that (a) one such visit, inspection and discussion shall be coordinated with the preparation of the annual agreed upon procedures report required pursuant to Section 7.5(f) of the Receivables Purchase Agreement and coordinated with any visits, inspections and discussions with the Servicer pursuant to Section 7.4(c) of the Receivables Purchase Agreement and (b) after the occurrence of any Event of Default that has not been waived in accordance with the terms of the Receivables Purchase Agreement all such activities shall be at the sole cost and expense of the Originator and no limitation shall be imposed on the number of visits, inspections or discussions. Each Purchaser, each Purchaser Agent, LOC Issuer, Agent and any of their respective agents or representatives including certified public accountants or other auditors or consultants shall provide the Originator the opportunity to participate in any discussions with the Originator’s independent accountants.</w:t>
      </w:r>
    </w:p>
    <w:p>
      <w:pPr>
        <w:spacing w:after="0" w:line="192" w:lineRule="exact"/>
        <w:rPr>
          <w:sz w:val="20"/>
          <w:szCs w:val="20"/>
          <w:color w:val="auto"/>
        </w:rPr>
      </w:pPr>
    </w:p>
    <w:p>
      <w:pPr>
        <w:jc w:val="both"/>
        <w:ind w:firstLine="646"/>
        <w:spacing w:after="0" w:line="254" w:lineRule="auto"/>
        <w:tabs>
          <w:tab w:leader="none" w:pos="1159"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Records and Books of Account; Delivery</w:t>
      </w:r>
      <w:r>
        <w:rPr>
          <w:rFonts w:ascii="Times New Roman" w:cs="Times New Roman" w:eastAsia="Times New Roman" w:hAnsi="Times New Roman"/>
          <w:sz w:val="18"/>
          <w:szCs w:val="18"/>
          <w:color w:val="auto"/>
        </w:rPr>
        <w:t>. Maintain and implement, or cause to be maintained and implemented, administrative and operating procedures (including an ability to recreate records evidencing the Receivables and Related Assets in the event of the destruction of the originals thereof, backing up on at least a daily basis on a separate backup computer from which electronic file copies can be readily produced and distributed to third parties being agreed to suffice for this purpose), and keep and maintain, or cause to be kept and maintained, all documents, books, records and other information necessary or advisable for the collection of all Receivables and Related Assets (including records adequate to permit the daily identification of each new Receivable and all Collections of and adjustments to each existing Receivable received, made or otherwise processed on that day). Upon request of Agent, any Purchaser Agent or Buyer, deliver the originals of all Contracts to the Agent or Buyer, together with electronic and other files applicable thereto, and other Records necessary to enforce the related Receivable against the Obligor thereof.</w:t>
      </w:r>
    </w:p>
    <w:p>
      <w:pPr>
        <w:spacing w:after="0" w:line="200" w:lineRule="exact"/>
        <w:rPr>
          <w:sz w:val="20"/>
          <w:szCs w:val="20"/>
          <w:color w:val="auto"/>
        </w:r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80"/>
          </w:cols>
          <w:pgMar w:left="980" w:top="364" w:right="239" w:bottom="1440" w:gutter="0" w:footer="0" w:header="0"/>
        </w:sectPr>
      </w:pPr>
    </w:p>
    <w:bookmarkStart w:id="563" w:name="page564"/>
    <w:bookmarkEnd w:id="563"/>
    <w:p>
      <w:pPr>
        <w:jc w:val="both"/>
        <w:ind w:left="-460" w:firstLine="646"/>
        <w:spacing w:after="0" w:line="261" w:lineRule="auto"/>
        <w:tabs>
          <w:tab w:leader="none" w:pos="581"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and Compliance with Receivables and Contracts</w:t>
      </w:r>
      <w:r>
        <w:rPr>
          <w:rFonts w:ascii="Times New Roman" w:cs="Times New Roman" w:eastAsia="Times New Roman" w:hAnsi="Times New Roman"/>
          <w:sz w:val="18"/>
          <w:szCs w:val="18"/>
          <w:color w:val="auto"/>
        </w:rPr>
        <w:t xml:space="preserve">. At its expense, timely and fully perform and comply with all material provisions, covenants and other promises required to be observed by it under the Contracts and the Receivables, unless, with respect to a Receivable, Originator or Servicer makes a Deemed Collection payment in respect of the entire Unpaid Balance thereof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3.2(a)(ii)</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460" w:firstLine="646"/>
        <w:spacing w:after="0" w:line="266" w:lineRule="auto"/>
        <w:tabs>
          <w:tab w:leader="none" w:pos="605"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 of Records</w:t>
      </w:r>
      <w:r>
        <w:rPr>
          <w:rFonts w:ascii="Times New Roman" w:cs="Times New Roman" w:eastAsia="Times New Roman" w:hAnsi="Times New Roman"/>
          <w:sz w:val="18"/>
          <w:szCs w:val="18"/>
          <w:color w:val="auto"/>
        </w:rPr>
        <w:t xml:space="preserve">. Keep its chief executive office and principal place of business, and the offices where it keeps its Records (and all original documents relating thereto), at the address of Originator referred to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or at such other location as is identified in the then most recently delivered Information Package.</w:t>
      </w:r>
    </w:p>
    <w:p>
      <w:pPr>
        <w:spacing w:after="0" w:line="176" w:lineRule="exact"/>
        <w:rPr>
          <w:rFonts w:ascii="Times New Roman" w:cs="Times New Roman" w:eastAsia="Times New Roman" w:hAnsi="Times New Roman"/>
          <w:sz w:val="18"/>
          <w:szCs w:val="18"/>
          <w:color w:val="auto"/>
        </w:rPr>
      </w:pPr>
    </w:p>
    <w:p>
      <w:pPr>
        <w:jc w:val="both"/>
        <w:ind w:left="-460" w:firstLine="646"/>
        <w:spacing w:after="0" w:line="258" w:lineRule="auto"/>
        <w:tabs>
          <w:tab w:leader="none" w:pos="595"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and Collection Policies; Business</w:t>
      </w:r>
      <w:r>
        <w:rPr>
          <w:rFonts w:ascii="Times New Roman" w:cs="Times New Roman" w:eastAsia="Times New Roman" w:hAnsi="Times New Roman"/>
          <w:sz w:val="18"/>
          <w:szCs w:val="18"/>
          <w:color w:val="auto"/>
        </w:rPr>
        <w:t>. Until such Receivable is sold or contributed to Buyer, comply in all material respects with its Credit and Collection Policy in regard to each Receivable and the Related Assets and not agree to any material changes thereto (including changes that would materially impair the value, validity, collectability or enforceability of, or materially increase the days-to-pay, Dilution or Contractual Dilution in excess of the Adjusted Contractual Dilution Estimate at such time with respect to, any Receivables) without the prior written consent of Buyer, each Purchaser Agent and Agent.</w:t>
      </w:r>
    </w:p>
    <w:p>
      <w:pPr>
        <w:spacing w:after="0" w:line="183"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561"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(i) Instruct all Obligors to cause all Collections of Receivables to be deposited directly with a Lock-Box Bank or a lock-box maintained by a Lock-Box Bank and related to an account covered by a Lock-Box Agreement. In the event Originator or any of its Affiliates receives any Collections, such Person will deposit such Collections in a lock-box account with a Lock-Box Bank covered by a Lock-Box Agreement the earlier of (A) within four (4) Business Days of such receipt and (B) within two (2) Business Days of identification thereof as Collections and (ii) in the event a Lock-Box Agreement is terminated, direct the applicable Lock-Box Bank to direct payments received into the applicable lock-box or amounts deposited into the applicable lock-box account, as directed by the Agent.</w:t>
      </w:r>
    </w:p>
    <w:p>
      <w:pPr>
        <w:spacing w:after="0" w:line="187" w:lineRule="exact"/>
        <w:rPr>
          <w:rFonts w:ascii="Times New Roman" w:cs="Times New Roman" w:eastAsia="Times New Roman" w:hAnsi="Times New Roman"/>
          <w:sz w:val="18"/>
          <w:szCs w:val="18"/>
          <w:color w:val="auto"/>
        </w:rPr>
      </w:pPr>
    </w:p>
    <w:p>
      <w:pPr>
        <w:ind w:left="-460" w:firstLine="646"/>
        <w:spacing w:after="0" w:line="282" w:lineRule="auto"/>
        <w:tabs>
          <w:tab w:leader="none" w:pos="74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Agreed Upon Procedures</w:t>
      </w:r>
      <w:r>
        <w:rPr>
          <w:rFonts w:ascii="Times New Roman" w:cs="Times New Roman" w:eastAsia="Times New Roman" w:hAnsi="Times New Roman"/>
          <w:sz w:val="18"/>
          <w:szCs w:val="18"/>
          <w:color w:val="auto"/>
        </w:rPr>
        <w:t xml:space="preserve">. Cooperate reasonably with Servicer and the designated accountants for each annual agreed upon procedures report required pursuant to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of the Receivables Purchase Agreement.</w:t>
      </w:r>
    </w:p>
    <w:p>
      <w:pPr>
        <w:spacing w:after="0" w:line="161" w:lineRule="exact"/>
        <w:rPr>
          <w:rFonts w:ascii="Times New Roman" w:cs="Times New Roman" w:eastAsia="Times New Roman" w:hAnsi="Times New Roman"/>
          <w:sz w:val="18"/>
          <w:szCs w:val="18"/>
          <w:color w:val="auto"/>
        </w:rPr>
      </w:pPr>
    </w:p>
    <w:p>
      <w:pPr>
        <w:ind w:left="-460" w:firstLine="646"/>
        <w:spacing w:after="0" w:line="282" w:lineRule="auto"/>
        <w:tabs>
          <w:tab w:leader="none" w:pos="659"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 of Billing</w:t>
      </w:r>
      <w:r>
        <w:rPr>
          <w:rFonts w:ascii="Times New Roman" w:cs="Times New Roman" w:eastAsia="Times New Roman" w:hAnsi="Times New Roman"/>
          <w:sz w:val="18"/>
          <w:szCs w:val="18"/>
          <w:color w:val="auto"/>
        </w:rPr>
        <w:t>. Prepare and deliver invoices with respect to all Receivables in accordance with the Credit and Collection Policies, but in any event no less frequently than monthly.</w:t>
      </w:r>
    </w:p>
    <w:p>
      <w:pPr>
        <w:spacing w:after="0" w:line="161" w:lineRule="exact"/>
        <w:rPr>
          <w:rFonts w:ascii="Times New Roman" w:cs="Times New Roman" w:eastAsia="Times New Roman" w:hAnsi="Times New Roman"/>
          <w:sz w:val="18"/>
          <w:szCs w:val="18"/>
          <w:color w:val="auto"/>
        </w:rPr>
      </w:pPr>
    </w:p>
    <w:p>
      <w:pPr>
        <w:jc w:val="both"/>
        <w:ind w:left="-460" w:firstLine="646"/>
        <w:spacing w:after="0" w:line="266" w:lineRule="auto"/>
        <w:tabs>
          <w:tab w:leader="none" w:pos="552"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Performance Guaranty</w:t>
      </w:r>
      <w:r>
        <w:rPr>
          <w:rFonts w:ascii="Times New Roman" w:cs="Times New Roman" w:eastAsia="Times New Roman" w:hAnsi="Times New Roman"/>
          <w:sz w:val="18"/>
          <w:szCs w:val="18"/>
          <w:color w:val="auto"/>
        </w:rPr>
        <w:t>. On its own behalf and on behalf of Purchasers and Agent, shall promptly enforce all material covenants and obligations of the Performance Guarantor in the Performance Guaranty and shall deliver consents, approvals, directions, notices, waivers and take other actions under the Performance Guaranty, as applicable, as may be reasonably directed by Agent.</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20"/>
          </w:cols>
          <w:pgMar w:left="1440" w:top="365" w:right="239" w:bottom="1440" w:gutter="0" w:footer="0" w:header="0"/>
        </w:sectPr>
      </w:pPr>
    </w:p>
    <w:bookmarkStart w:id="564" w:name="page565"/>
    <w:bookmarkEnd w:id="564"/>
    <w:p>
      <w:pPr>
        <w:ind w:left="6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From the date hereof until the Final Payout Date, Originator will furnish to Buyer and to Agent and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Agent, unless Agent and each Purchaser Agent shall otherwise consent in writing, each of the following:</w:t>
      </w:r>
    </w:p>
    <w:p>
      <w:pPr>
        <w:spacing w:after="0" w:line="207" w:lineRule="exact"/>
        <w:rPr>
          <w:sz w:val="20"/>
          <w:szCs w:val="20"/>
          <w:color w:val="auto"/>
        </w:rPr>
      </w:pPr>
    </w:p>
    <w:p>
      <w:pPr>
        <w:ind w:left="1780" w:hanging="394"/>
        <w:spacing w:after="0"/>
        <w:tabs>
          <w:tab w:leader="none" w:pos="1780"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and in any event within forty-five (45) days after the end of the first three</w:t>
      </w:r>
    </w:p>
    <w:p>
      <w:pPr>
        <w:spacing w:after="0" w:line="27" w:lineRule="exact"/>
        <w:rPr>
          <w:rFonts w:ascii="Times New Roman" w:cs="Times New Roman" w:eastAsia="Times New Roman" w:hAnsi="Times New Roman"/>
          <w:sz w:val="18"/>
          <w:szCs w:val="18"/>
          <w:color w:val="auto"/>
        </w:rPr>
      </w:pPr>
    </w:p>
    <w:p>
      <w:pPr>
        <w:jc w:val="both"/>
        <w:ind w:left="740" w:hanging="3"/>
        <w:spacing w:after="0" w:line="252" w:lineRule="auto"/>
        <w:tabs>
          <w:tab w:leader="none" w:pos="996"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periods of each of its fiscal years, the unaudited consolidated balance sheet of Performance Guarantor (or following the consummation of the Specified Acquisition Transaction, New Mylan) and its consolidated Subsidiaries (including Originator and following the consummation of the Specified Acquisition Transaction, Performance Guarantor) as at the close of each such period and related statements of income and cash flows for Performance Guarantor (or following the consummation of the Specified Acquisition Transaction, New Mylan) and its consolidated Subsidiaries, in conformity with generally accepted accounting principles, subject to normal year-end audit adjustments and the absence of footnotes, for the period from the beginning of such fiscal year to the end of such quarterly period, all certified by a financial officer;</w:t>
      </w:r>
    </w:p>
    <w:p>
      <w:pPr>
        <w:spacing w:after="0" w:line="190" w:lineRule="exact"/>
        <w:rPr>
          <w:rFonts w:ascii="Times New Roman" w:cs="Times New Roman" w:eastAsia="Times New Roman" w:hAnsi="Times New Roman"/>
          <w:sz w:val="18"/>
          <w:szCs w:val="18"/>
          <w:color w:val="auto"/>
        </w:rPr>
      </w:pPr>
    </w:p>
    <w:p>
      <w:pPr>
        <w:jc w:val="both"/>
        <w:ind w:left="1300" w:firstLine="653"/>
        <w:spacing w:after="0" w:line="254" w:lineRule="auto"/>
        <w:tabs>
          <w:tab w:leader="none" w:pos="2375"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As soon as available and in any event within ninety (90) days after the end of each fiscal year of each of Performance Guarantor (or following the consummation of the Specified Acquisition Transaction, New Mylan) and its consolidated subsidiaries, copies of the audited, consolidated financial statements (which shall include balance sheets, statements cash flows, operations, and stockholders equity) for Performance Guarantor (or following the consummation of the Specified Acquisition Transaction, New Mylan) and its consolidated Subsidiaries (including Originator and following the consummation of the Specified Acquisition Transaction, Performance Guarantor) in conformity with generally accepted accounting principles, certified by Deloitte LLP or another nationally recognized firm of independent certified public accountants reasonably acceptable to Buyer (or its assigns) with respect to such fiscal year (without a “going-concern” or like qualification or exception and without any qualification or exception as to the scope of such audit); and</w:t>
      </w:r>
    </w:p>
    <w:p>
      <w:pPr>
        <w:spacing w:after="0" w:line="189"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25"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Together with the financial statements required hereunder, a compliance certificate in substantially the form of </w:t>
      </w:r>
      <w:r>
        <w:rPr>
          <w:rFonts w:ascii="Times New Roman" w:cs="Times New Roman" w:eastAsia="Times New Roman" w:hAnsi="Times New Roman"/>
          <w:sz w:val="18"/>
          <w:szCs w:val="18"/>
          <w:u w:val="single" w:color="auto"/>
          <w:color w:val="auto"/>
        </w:rPr>
        <w:t>Exhibit 5.3</w:t>
      </w:r>
      <w:r>
        <w:rPr>
          <w:rFonts w:ascii="Times New Roman" w:cs="Times New Roman" w:eastAsia="Times New Roman" w:hAnsi="Times New Roman"/>
          <w:sz w:val="18"/>
          <w:szCs w:val="18"/>
          <w:color w:val="auto"/>
        </w:rPr>
        <w:t xml:space="preserve"> signed by an authorized officer of Originator and dated the date of such annual financial statement or such quarterly financial statement, as the case may be.</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397" w:val="left"/>
        </w:tabs>
        <w:numPr>
          <w:ilvl w:val="2"/>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shall be deemed to have been delivered if such statements and information shall have been posted by or on behalf of Originator on its website or shall have been posted on IntraLinks or similar site to which all of the Agent and Purchaser Agents have been granted access or are publicly available on the SEC’s website pursuant to the EDGAR system.</w:t>
      </w:r>
    </w:p>
    <w:p>
      <w:pPr>
        <w:spacing w:after="0" w:line="176" w:lineRule="exact"/>
        <w:rPr>
          <w:rFonts w:ascii="Times New Roman" w:cs="Times New Roman" w:eastAsia="Times New Roman" w:hAnsi="Times New Roman"/>
          <w:sz w:val="18"/>
          <w:szCs w:val="18"/>
          <w:color w:val="auto"/>
        </w:rPr>
      </w:pPr>
    </w:p>
    <w:p>
      <w:pPr>
        <w:ind w:left="1780" w:hanging="394"/>
        <w:spacing w:after="0"/>
        <w:tabs>
          <w:tab w:leader="none" w:pos="178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Originator will furnish to Buyer and Agent: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60" w:right="239" w:bottom="1440" w:gutter="0" w:footer="0" w:header="0"/>
        </w:sectPr>
      </w:pPr>
    </w:p>
    <w:bookmarkStart w:id="565" w:name="page566"/>
    <w:bookmarkEnd w:id="565"/>
    <w:p>
      <w:pPr>
        <w:ind w:left="560" w:firstLine="653"/>
        <w:spacing w:after="0" w:line="282" w:lineRule="auto"/>
        <w:tabs>
          <w:tab w:leader="none" w:pos="1563"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becomes publicly available, copies of all proxy statements, financial statements and regular or special reports which Performance Guarantor or New Mylan sends to its stockholders;</w:t>
      </w:r>
    </w:p>
    <w:p>
      <w:pPr>
        <w:spacing w:after="0" w:line="161" w:lineRule="exact"/>
        <w:rPr>
          <w:rFonts w:ascii="Times New Roman" w:cs="Times New Roman" w:eastAsia="Times New Roman" w:hAnsi="Times New Roman"/>
          <w:sz w:val="18"/>
          <w:szCs w:val="18"/>
          <w:color w:val="auto"/>
        </w:rPr>
      </w:pPr>
    </w:p>
    <w:p>
      <w:pPr>
        <w:jc w:val="both"/>
        <w:ind w:left="560" w:firstLine="653"/>
        <w:spacing w:after="0" w:line="266" w:lineRule="auto"/>
        <w:tabs>
          <w:tab w:leader="none" w:pos="1632"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 request therefor, any documentation or other information that Buyer, Agent, any Purchaser Agent, any LOC Issuer or any Purchaser reasonably requests in order to comply with its ongoing obligations under the applicable “know your customer” and anti money laundering rules and regulations, including the USA PATRIOT Act; and</w:t>
      </w:r>
    </w:p>
    <w:p>
      <w:pPr>
        <w:spacing w:after="0" w:line="176" w:lineRule="exact"/>
        <w:rPr>
          <w:rFonts w:ascii="Times New Roman" w:cs="Times New Roman" w:eastAsia="Times New Roman" w:hAnsi="Times New Roman"/>
          <w:sz w:val="18"/>
          <w:szCs w:val="18"/>
          <w:color w:val="auto"/>
        </w:rPr>
      </w:pPr>
    </w:p>
    <w:p>
      <w:pPr>
        <w:jc w:val="both"/>
        <w:ind w:left="560" w:firstLine="653"/>
        <w:spacing w:after="0" w:line="256" w:lineRule="auto"/>
        <w:tabs>
          <w:tab w:leader="none" w:pos="1685"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time to time such further information regarding the business, affairs and financial condition of such Originator and its subsidiaries as Buyer, Agent or any Purchaser Agent shall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Originator shall not be required to deliver any information that Originator reasonably determines that the delivery of such information (or the provision of written documents in respect thereof) will violate or result in the waiver of an applicable attorney-client privilege, but the foregoing will not limit Originator’s obligation to provide the Records as well as payment information with respect to each Receivable to Buyer, Agent, each Purchaser, each Purchaser Agent, each LOC Issuer and their respective agents or representatives.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deemed to have been delivered if such statements and information shall have been posted by or on behalf of Originator on its website or shall have been posted on IntraLinks or similar site to which all of the Buyer, the Agent and each Purchaser Agent have been granted access or are publicly available on the SEC’s website pursuant to the EDGAR system.</w:t>
      </w:r>
    </w:p>
    <w:p>
      <w:pPr>
        <w:spacing w:after="0" w:line="176" w:lineRule="exact"/>
        <w:rPr>
          <w:sz w:val="20"/>
          <w:szCs w:val="20"/>
          <w:color w:val="auto"/>
        </w:rPr>
      </w:pPr>
    </w:p>
    <w:p>
      <w:pPr>
        <w:ind w:firstLine="646"/>
        <w:spacing w:after="0" w:line="282" w:lineRule="auto"/>
        <w:tabs>
          <w:tab w:leader="none" w:pos="1055"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Written notice of any ERISA Event that Originator becomes aware of, the occurrence of which, alone or together with any other ERISA Event that has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646"/>
        <w:spacing w:after="0" w:line="254" w:lineRule="auto"/>
        <w:tabs>
          <w:tab w:leader="none" w:pos="1038"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the Servicer is MPI (or an Affiliate of MPI), MPI shall deliver prompt notice of its knowledge of the occurrence of each Event of Default, each Unmatured Event of Default, any failure by Performance Guarantor or New Mylan (as applicable) to comply with the Financial Covenants set forth in any Credit Agreement, or any draw on a Letter of Credit, accompanied by a written statement of an appropriate officer of MPI setting forth details of such event and the action that MPI proposes to take with respect thereto, such notice to be provided as soon as possible and in any event within five (5) Business Days after MPI obtains knowledge of any such event. If the Servicer is not MPI (or an Affiliate of MPI), Originator shall deliver prompt notice of the occurrence of each Event of Default, each Unmatured Event of Default and any draw on a Letter of Credit, accompanied by a written statement of an appropriate officer of such Originator setting forth details of such event and the action that Originator, as applicable, proposes to take with respect thereto, such notice to be provided as soon as possible and in any event within five (5) Business Days after Originator obtains knowledge of any such event.</w:t>
      </w:r>
    </w:p>
    <w:p>
      <w:pPr>
        <w:spacing w:after="0" w:line="200" w:lineRule="exact"/>
        <w:rPr>
          <w:sz w:val="20"/>
          <w:szCs w:val="20"/>
          <w:color w:val="auto"/>
        </w:rPr>
      </w:pP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80"/>
          </w:cols>
          <w:pgMar w:left="980" w:top="364" w:right="239" w:bottom="1440" w:gutter="0" w:footer="0" w:header="0"/>
        </w:sectPr>
      </w:pPr>
    </w:p>
    <w:bookmarkStart w:id="566" w:name="page567"/>
    <w:bookmarkEnd w:id="566"/>
    <w:p>
      <w:pPr>
        <w:jc w:val="both"/>
        <w:ind w:left="-460" w:firstLine="646"/>
        <w:spacing w:after="0" w:line="261" w:lineRule="auto"/>
        <w:tabs>
          <w:tab w:leader="none" w:pos="59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 Programs</w:t>
      </w:r>
      <w:r>
        <w:rPr>
          <w:rFonts w:ascii="Times New Roman" w:cs="Times New Roman" w:eastAsia="Times New Roman" w:hAnsi="Times New Roman"/>
          <w:sz w:val="18"/>
          <w:szCs w:val="18"/>
          <w:color w:val="auto"/>
        </w:rPr>
        <w:t>. If the Servicer is MPI (or an Affiliate of MPI) or an Event of Default has occurred and has not been waived in accordance with the terms of the Receivables Purchase Agreement and a license or approval is required for Agent or such successor Servicer’s use of any software or other computer program used by such Servicer in the servicing of the Receivables, then Originator shall at its own expense use commercially reasonable efforts to arrange for Agent and such successor Servicer to receive any such required license or approval.</w:t>
      </w:r>
    </w:p>
    <w:p>
      <w:pPr>
        <w:spacing w:after="0" w:line="180" w:lineRule="exact"/>
        <w:rPr>
          <w:rFonts w:ascii="Times New Roman" w:cs="Times New Roman" w:eastAsia="Times New Roman" w:hAnsi="Times New Roman"/>
          <w:sz w:val="18"/>
          <w:szCs w:val="18"/>
          <w:color w:val="auto"/>
        </w:rPr>
      </w:pPr>
    </w:p>
    <w:p>
      <w:pPr>
        <w:jc w:val="both"/>
        <w:ind w:left="-460" w:firstLine="646"/>
        <w:spacing w:after="0" w:line="255" w:lineRule="auto"/>
        <w:tabs>
          <w:tab w:leader="none" w:pos="656"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soon as possible and in any event within five (5) Business Days of a Primary Officer of Originator’s obtaining knowledge thereof, notice of (a) any action, suit or proceeding by or before any arbiter or Governmental Authority initiated against (i) Originator, Performance Guarantor or Servicer which may exist at any time which has had or could reasonably be expected to have, individually or in the aggregate, a Material Adverse Effect and would prevent it in any material respect from conducting its business operations relating to the Receivables or the performance of its duties and obligations hereunder or under the other Transaction Documents or (ii) Buyer and (b) any development in previously disclosed action, suit or proceeding which, individually or in the aggregate, is materially adverse in the Originator’s reasonable determination.</w:t>
      </w:r>
    </w:p>
    <w:p>
      <w:pPr>
        <w:spacing w:after="0" w:line="189" w:lineRule="exact"/>
        <w:rPr>
          <w:rFonts w:ascii="Times New Roman" w:cs="Times New Roman" w:eastAsia="Times New Roman" w:hAnsi="Times New Roman"/>
          <w:sz w:val="18"/>
          <w:szCs w:val="18"/>
          <w:color w:val="auto"/>
        </w:rPr>
      </w:pPr>
    </w:p>
    <w:p>
      <w:pPr>
        <w:jc w:val="both"/>
        <w:ind w:left="-460" w:firstLine="646"/>
        <w:spacing w:after="0" w:line="256" w:lineRule="auto"/>
        <w:tabs>
          <w:tab w:leader="none" w:pos="578"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or Business</w:t>
      </w:r>
      <w:r>
        <w:rPr>
          <w:rFonts w:ascii="Times New Roman" w:cs="Times New Roman" w:eastAsia="Times New Roman" w:hAnsi="Times New Roman"/>
          <w:sz w:val="18"/>
          <w:szCs w:val="18"/>
          <w:color w:val="auto"/>
        </w:rPr>
        <w:t>. (i) Prior to its effective date, notice of (a) any material change in the Credit and Collection Policies, and (b) any change in the character of Originator’s or Performance Guarantor’s business that has or could reasonably be expected to, individually or the aggregate, materially and adversely affect the ability of Originator or Performance Guarantor to perform its respective obligations hereunder or otherwise have a Material Adverse Effect or would prevent it from conducting its business operations relating to the Receivables or the performance of its duties and obligations hereunder or under the other Transaction Documents and (ii) within thirty (30) days of each annual anniversary of the Closing Date, a current copy of the Credit and Collection Policies.</w:t>
      </w:r>
    </w:p>
    <w:p>
      <w:pPr>
        <w:spacing w:after="0" w:line="187" w:lineRule="exact"/>
        <w:rPr>
          <w:rFonts w:ascii="Times New Roman" w:cs="Times New Roman" w:eastAsia="Times New Roman" w:hAnsi="Times New Roman"/>
          <w:sz w:val="18"/>
          <w:szCs w:val="18"/>
          <w:color w:val="auto"/>
        </w:rPr>
      </w:pPr>
    </w:p>
    <w:p>
      <w:pPr>
        <w:jc w:val="both"/>
        <w:ind w:left="-460" w:firstLine="646"/>
        <w:spacing w:after="0" w:line="266" w:lineRule="auto"/>
        <w:tabs>
          <w:tab w:leader="none" w:pos="64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Accounting Policy</w:t>
      </w:r>
      <w:r>
        <w:rPr>
          <w:rFonts w:ascii="Times New Roman" w:cs="Times New Roman" w:eastAsia="Times New Roman" w:hAnsi="Times New Roman"/>
          <w:sz w:val="18"/>
          <w:szCs w:val="18"/>
          <w:color w:val="auto"/>
        </w:rPr>
        <w:t>. Promptly notify Buyer, Agent and each Purchaser Agent of any material change in the accounting policy of Originator or Performance Guarantor if such change relates to the Receivables or the origination or servicing thereof or the transactions contemplated by the Transaction Documents.</w:t>
      </w:r>
    </w:p>
    <w:p>
      <w:pPr>
        <w:spacing w:after="0" w:line="176" w:lineRule="exact"/>
        <w:rPr>
          <w:rFonts w:ascii="Times New Roman" w:cs="Times New Roman" w:eastAsia="Times New Roman" w:hAnsi="Times New Roman"/>
          <w:sz w:val="18"/>
          <w:szCs w:val="18"/>
          <w:color w:val="auto"/>
        </w:rPr>
      </w:pPr>
    </w:p>
    <w:p>
      <w:pPr>
        <w:jc w:val="both"/>
        <w:ind w:left="-460" w:firstLine="646"/>
        <w:spacing w:after="0" w:line="255" w:lineRule="auto"/>
        <w:tabs>
          <w:tab w:leader="none" w:pos="56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From time to time, such Records or other information, documents, records or reports respecting the condition or operations, financial or otherwise, of Buyer, any Originator, Servicer, Performance Guarantor, New Mylan or MPI as Agent, any Purchaser Agent or Buyer may from time to time reasonably request in order to protect the interests of Buyer, Agent or Purchasers under or as contemplated by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Originator shall not be required to deliver any information that Originator reasonably determines that the delivery of such information (or the provision of written documents in respect thereof) will violate or result in the waiver of an applicable attorney-client privilege, but the foregoing will not limit Originator’s obligation to provide the Records as well as payment information with respect to each Receivable to</w:t>
      </w:r>
    </w:p>
    <w:p>
      <w:pPr>
        <w:spacing w:after="0" w:line="200" w:lineRule="exact"/>
        <w:rPr>
          <w:sz w:val="20"/>
          <w:szCs w:val="20"/>
          <w:color w:val="auto"/>
        </w:rPr>
      </w:pPr>
    </w:p>
    <w:p>
      <w:pPr>
        <w:spacing w:after="0" w:line="2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20"/>
          </w:cols>
          <w:pgMar w:left="1440" w:top="364" w:right="239" w:bottom="1440" w:gutter="0" w:footer="0" w:header="0"/>
        </w:sectPr>
      </w:pPr>
    </w:p>
    <w:bookmarkStart w:id="567" w:name="page568"/>
    <w:bookmarkEnd w:id="567"/>
    <w:p>
      <w:pPr>
        <w:ind w:left="740"/>
        <w:spacing w:after="0"/>
        <w:rPr>
          <w:sz w:val="20"/>
          <w:szCs w:val="20"/>
          <w:color w:val="auto"/>
        </w:rPr>
      </w:pPr>
      <w:r>
        <w:rPr>
          <w:rFonts w:ascii="Times New Roman" w:cs="Times New Roman" w:eastAsia="Times New Roman" w:hAnsi="Times New Roman"/>
          <w:sz w:val="18"/>
          <w:szCs w:val="18"/>
          <w:color w:val="auto"/>
        </w:rPr>
        <w:t>Buyer, Agent, each Purchaser, each Purchaser Agent, each LOC Issuer and their respective agents or representatives.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u w:val="single" w:color="auto"/>
          <w:color w:val="auto"/>
        </w:rPr>
        <w:t>Negative Covenants of Originator</w:t>
      </w:r>
      <w:r>
        <w:rPr>
          <w:rFonts w:ascii="Times New Roman" w:cs="Times New Roman" w:eastAsia="Times New Roman" w:hAnsi="Times New Roman"/>
          <w:sz w:val="18"/>
          <w:szCs w:val="18"/>
          <w:color w:val="auto"/>
        </w:rPr>
        <w:t>. From the date hereof until the Final Payout Date, each Originator shall not,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Buyer, do or permit to occur any act or circumstance with which it has covenanted not to do or permit to occur in any Transaction Document to which it is a party in any capacity, or:</w:t>
      </w:r>
    </w:p>
    <w:p>
      <w:pPr>
        <w:spacing w:after="0" w:line="175" w:lineRule="exact"/>
        <w:rPr>
          <w:sz w:val="20"/>
          <w:szCs w:val="20"/>
          <w:color w:val="auto"/>
        </w:rPr>
      </w:pPr>
    </w:p>
    <w:p>
      <w:pPr>
        <w:jc w:val="both"/>
        <w:ind w:left="740" w:firstLine="646"/>
        <w:spacing w:after="0" w:line="219" w:lineRule="exact"/>
        <w:tabs>
          <w:tab w:leader="none" w:pos="179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Liens, Etc</w:t>
      </w:r>
      <w:r>
        <w:rPr>
          <w:rFonts w:ascii="Times New Roman" w:cs="Times New Roman" w:eastAsia="Times New Roman" w:hAnsi="Times New Roman"/>
          <w:sz w:val="18"/>
          <w:szCs w:val="18"/>
          <w:color w:val="auto"/>
        </w:rPr>
        <w:t xml:space="preserve">. Except as otherwise provided herein and in the other Transaction Documents, sell, assign (by operation of Law or otherwise) or otherwise dispose of, or create or suffer to exist any Lien upon or with respect to, (i) the Receivables, Related Assets or the proceeds thereof (except for the lien on the Receivables existing prior to the Initial Transfer Date that is released simultaneously upon the initial transfer of such Receivables to the Buyer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or any interest therein, or any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box account to which any Collections of any of the foregoing are sent, or any right to receive income or proceeds (other than the Purchase Price paid to Originator hereunder or any proceeds of Collections remitted to Originator hereunder to the extent Originator owes no other amounts hereunder) from or in respect of any of the foregoing), or purport to do any of the foregoing, or (ii) with respect to MPI, prior to the Final Payout Date, its equity interest in Buyer, if any.</w:t>
      </w:r>
    </w:p>
    <w:p>
      <w:pPr>
        <w:spacing w:after="0" w:line="201" w:lineRule="exact"/>
        <w:rPr>
          <w:rFonts w:ascii="Times New Roman" w:cs="Times New Roman" w:eastAsia="Times New Roman" w:hAnsi="Times New Roman"/>
          <w:sz w:val="18"/>
          <w:szCs w:val="18"/>
          <w:color w:val="auto"/>
        </w:rPr>
      </w:pPr>
    </w:p>
    <w:p>
      <w:pPr>
        <w:jc w:val="both"/>
        <w:ind w:left="740" w:firstLine="646"/>
        <w:spacing w:after="0" w:line="256" w:lineRule="auto"/>
        <w:tabs>
          <w:tab w:leader="none" w:pos="1818"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or Amendment of Receivables</w:t>
      </w:r>
      <w:r>
        <w:rPr>
          <w:rFonts w:ascii="Times New Roman" w:cs="Times New Roman" w:eastAsia="Times New Roman" w:hAnsi="Times New Roman"/>
          <w:sz w:val="18"/>
          <w:szCs w:val="18"/>
          <w:color w:val="auto"/>
        </w:rPr>
        <w:t xml:space="preserve">. Except as otherwise permitted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of the Receivables Purchase Agreement, extend, amend or otherwise modify the terms of any Receivable originated by Originator or amend, modify or waive any term or condition of any related Contract in any respect that would or could reasonably be expected to, individually or in the aggregate, materially and adversely affect the payment (including the timing thereof), the value, the validity, the collectability, or the enforceability of, or the exercise of any rights with respect to the related Receivables by it or Agent or otherwise, that would or could reasonably be expected to have, individually or in the aggregate, a Material Adverse Effect in each case, unless a Deemed Collection payment in respect of the related Receivable is made in connection therewith.</w:t>
      </w:r>
    </w:p>
    <w:p>
      <w:pPr>
        <w:spacing w:after="0" w:line="187" w:lineRule="exact"/>
        <w:rPr>
          <w:rFonts w:ascii="Times New Roman" w:cs="Times New Roman" w:eastAsia="Times New Roman" w:hAnsi="Times New Roman"/>
          <w:sz w:val="18"/>
          <w:szCs w:val="18"/>
          <w:color w:val="auto"/>
        </w:rPr>
      </w:pPr>
    </w:p>
    <w:p>
      <w:pPr>
        <w:jc w:val="both"/>
        <w:ind w:left="740" w:firstLine="646"/>
        <w:spacing w:after="0" w:line="255" w:lineRule="auto"/>
        <w:tabs>
          <w:tab w:leader="none" w:pos="179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and Collection Policies, Business or Transaction Documents</w:t>
      </w:r>
      <w:r>
        <w:rPr>
          <w:rFonts w:ascii="Times New Roman" w:cs="Times New Roman" w:eastAsia="Times New Roman" w:hAnsi="Times New Roman"/>
          <w:sz w:val="18"/>
          <w:szCs w:val="18"/>
          <w:color w:val="auto"/>
        </w:rPr>
        <w:t>. (i) Make or consent to any change in the Credit and Collection Policies that could materially impair the value, validity, collectability or enforceability of, or increase the days-to-pay, Dilution or Contractual Dilution in excess of the Adjusted Contractual Dilution Estimate at such time with respect to, any Receivable or otherwise make any material change thereto without the prior written consent of Buyer, Agent and each Purchaser Agent, (ii) make a change in the character of its business that would have or could reasonably be expected to have, individually or in the aggregate, a Material Adverse Effect, in either case, without the prior written consent of Buyer, Agent and each Purchaser Agent or (iii) amend any other Transaction Document to which it is a party, in any capacity, without the prior written consent of Buyer, Agent and each Purchaser Agent.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64" w:right="239" w:bottom="1440" w:gutter="0" w:footer="0" w:header="0"/>
        </w:sectPr>
      </w:pPr>
    </w:p>
    <w:bookmarkStart w:id="568" w:name="page569"/>
    <w:bookmarkEnd w:id="568"/>
    <w:p>
      <w:pPr>
        <w:jc w:val="both"/>
        <w:ind w:left="-460" w:firstLine="646"/>
        <w:spacing w:after="0" w:line="256" w:lineRule="auto"/>
        <w:tabs>
          <w:tab w:leader="none" w:pos="591"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Lock-Boxes</w:t>
      </w:r>
      <w:r>
        <w:rPr>
          <w:rFonts w:ascii="Times New Roman" w:cs="Times New Roman" w:eastAsia="Times New Roman" w:hAnsi="Times New Roman"/>
          <w:sz w:val="18"/>
          <w:szCs w:val="18"/>
          <w:color w:val="auto"/>
        </w:rPr>
        <w:t xml:space="preserve">. (i) Add any bank or lock-box account not listed on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 xml:space="preserve"> as a Lock-Box Bank or lock-box account unless Agent shall have previously approved and received duly executed copies of all Lock-Box Agreements and/or amendments thereto covering each such new bank and lock-box account or (ii) terminate any Lock-Box Bank, Lock-Box Agreement or related lock-box account without the prior written consent of Buyer, Agent and each Purchaser Agent and, in each case, only if all of the payments from Obligors that were being sent to such Lock-Box Bank will, upon termination of such Lock-Box Bank and at all times thereafter, be deposited in a lock-box account with another Lock-Box Bank covered by a Lock-Box Agreement.</w:t>
      </w:r>
    </w:p>
    <w:p>
      <w:pPr>
        <w:spacing w:after="0" w:line="187" w:lineRule="exact"/>
        <w:rPr>
          <w:rFonts w:ascii="Times New Roman" w:cs="Times New Roman" w:eastAsia="Times New Roman" w:hAnsi="Times New Roman"/>
          <w:sz w:val="18"/>
          <w:szCs w:val="18"/>
          <w:color w:val="auto"/>
        </w:rPr>
      </w:pPr>
    </w:p>
    <w:p>
      <w:pPr>
        <w:jc w:val="both"/>
        <w:ind w:left="-460" w:firstLine="646"/>
        <w:spacing w:after="0" w:line="252" w:lineRule="auto"/>
        <w:tabs>
          <w:tab w:leader="none" w:pos="59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Sales, Etc</w:t>
      </w:r>
      <w:r>
        <w:rPr>
          <w:rFonts w:ascii="Times New Roman" w:cs="Times New Roman" w:eastAsia="Times New Roman" w:hAnsi="Times New Roman"/>
          <w:sz w:val="18"/>
          <w:szCs w:val="18"/>
          <w:color w:val="auto"/>
        </w:rPr>
        <w:t>. Consolidate or merge with or into, or sell, lease or otherwise transfer all or substantially all of its assets to, any other Person, unless (i) such Person assumes the obligations of Originator under this Agreement and the other Transaction Documents pursuant to documentation reasonably satisfactory to Agent, (ii) Agent and each Purchaser have consented in writing thereto, which consent shall not be unreasonably withheld, conditioned or delayed, (iii) Agent has been satisfied that all other actions to perfect and protect the interests of Agent, for the benefit of the Secured Parties, in and to the Collateral, as reasonably requested by Agent shall have been taken by, and at the expense of Originator (including the filing of any UCC financing statements or financing statement amendments), (iv) Agent shall have received lien searches and executed copies of all documents, certificates, and opinions as Agent shall reasonably request, (v) Performance Guarantor has delivered a reaffirmation of the Performance Guaranty to the Agent as of the applicable effective date and (vi) Buyer, Originator and Servicer have consented to such amendments to the Transaction Documents, solely as to such amendments to reflect (x) the merger of such Person into Originator and (y) any variation in the characteristics or performance of the Receivables originated by such Person to those Receivables originated by Originator prior to giving effect to such merger, as reasonably requested by Agent, including any amendments to (A) the definitions of “Eligible Receivable”, “Net Pool Balance” or any of the definitions used in such definition, “Required Reserves” or any of the definitions used in such definition, “Specified Concentration Percentage” or “Loss Reserve Floor Percentage” or (B) Sections 10.01(f), (g) or (h) of the Receivables Purchase Agreement; provided that notwithstanding the foregoing, any Affiliate of Originator may merge in a transaction in which Originator is the surviving Person.</w:t>
      </w:r>
    </w:p>
    <w:p>
      <w:pPr>
        <w:spacing w:after="0" w:line="198" w:lineRule="exact"/>
        <w:rPr>
          <w:rFonts w:ascii="Times New Roman" w:cs="Times New Roman" w:eastAsia="Times New Roman" w:hAnsi="Times New Roman"/>
          <w:sz w:val="18"/>
          <w:szCs w:val="18"/>
          <w:color w:val="auto"/>
        </w:rPr>
      </w:pPr>
    </w:p>
    <w:p>
      <w:pPr>
        <w:jc w:val="both"/>
        <w:ind w:left="-460" w:firstLine="646"/>
        <w:spacing w:after="0" w:line="261" w:lineRule="auto"/>
        <w:tabs>
          <w:tab w:leader="none" w:pos="57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Deposits to Accounts</w:t>
      </w:r>
      <w:r>
        <w:rPr>
          <w:rFonts w:ascii="Times New Roman" w:cs="Times New Roman" w:eastAsia="Times New Roman" w:hAnsi="Times New Roman"/>
          <w:sz w:val="18"/>
          <w:szCs w:val="18"/>
          <w:color w:val="auto"/>
        </w:rPr>
        <w:t>. Deposit or otherwise credit, or cause or permit to be so deposited or credited, or direct any Obligor to deposit or remit, any Collection or proceeds thereof to any account (or related lock–box, if applicable) not covered by a Lock-Box Agreement (including any organizational or operational account of Originator or any of its Affiliates) (other than a de minimis amount of payments misdirected by the Obligor).</w:t>
      </w:r>
    </w:p>
    <w:p>
      <w:pPr>
        <w:spacing w:after="0" w:line="180" w:lineRule="exact"/>
        <w:rPr>
          <w:rFonts w:ascii="Times New Roman" w:cs="Times New Roman" w:eastAsia="Times New Roman" w:hAnsi="Times New Roman"/>
          <w:sz w:val="18"/>
          <w:szCs w:val="18"/>
          <w:color w:val="auto"/>
        </w:rPr>
      </w:pPr>
    </w:p>
    <w:p>
      <w:pPr>
        <w:jc w:val="both"/>
        <w:ind w:left="-460" w:firstLine="646"/>
        <w:spacing w:after="0" w:line="266" w:lineRule="auto"/>
        <w:tabs>
          <w:tab w:leader="none" w:pos="591"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Organization, Etc</w:t>
      </w:r>
      <w:r>
        <w:rPr>
          <w:rFonts w:ascii="Times New Roman" w:cs="Times New Roman" w:eastAsia="Times New Roman" w:hAnsi="Times New Roman"/>
          <w:sz w:val="18"/>
          <w:szCs w:val="18"/>
          <w:color w:val="auto"/>
        </w:rPr>
        <w:t>. Change its jurisdiction of organization or its name, identity or corporate organization structure or make any other change such that any financing statement filed or other action taken to perfect Buyer’s or Agent’s interests hereunder and under the Receivables Purchase Agreement, as applicable, would become seriously misleading or would otherwise be rendered ineffective, unless</w:t>
      </w:r>
    </w:p>
    <w:p>
      <w:pPr>
        <w:spacing w:after="0" w:line="200" w:lineRule="exact"/>
        <w:rPr>
          <w:sz w:val="20"/>
          <w:szCs w:val="20"/>
          <w:color w:val="auto"/>
        </w:rPr>
      </w:pPr>
    </w:p>
    <w:p>
      <w:pPr>
        <w:spacing w:after="0" w:line="2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220"/>
          </w:cols>
          <w:pgMar w:left="1440" w:top="364" w:right="239" w:bottom="1440" w:gutter="0" w:footer="0" w:header="0"/>
        </w:sectPr>
      </w:pPr>
    </w:p>
    <w:bookmarkStart w:id="569" w:name="page570"/>
    <w:bookmarkEnd w:id="569"/>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Originator shall have given Buyer, Agent and each Purchaser Agent not less than thirty (30) days’ prior written notice of such change and shall have cured such circumstances. Originator shall at all times maintain its jurisdiction of organization and its chief executive office within a jurisdiction in the United States in which Article Nine of the UCC (2001 or later revision) is in effect.</w:t>
      </w:r>
    </w:p>
    <w:p>
      <w:pPr>
        <w:spacing w:after="0" w:line="176" w:lineRule="exact"/>
        <w:rPr>
          <w:sz w:val="20"/>
          <w:szCs w:val="20"/>
          <w:color w:val="auto"/>
        </w:rPr>
      </w:pPr>
    </w:p>
    <w:p>
      <w:pPr>
        <w:ind w:left="1380"/>
        <w:spacing w:after="0"/>
        <w:tabs>
          <w:tab w:leader="none" w:pos="176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u w:val="single" w:color="auto"/>
          <w:color w:val="auto"/>
        </w:rPr>
        <w:t>Actions Contrary to Separateness</w:t>
      </w:r>
      <w:r>
        <w:rPr>
          <w:rFonts w:ascii="Times New Roman" w:cs="Times New Roman" w:eastAsia="Times New Roman" w:hAnsi="Times New Roman"/>
          <w:sz w:val="17"/>
          <w:szCs w:val="17"/>
          <w:color w:val="auto"/>
        </w:rPr>
        <w:t>. Take any action inconsistent with the terms of</w:t>
      </w:r>
      <w:r>
        <w:rPr>
          <w:rFonts w:ascii="Times New Roman" w:cs="Times New Roman" w:eastAsia="Times New Roman" w:hAnsi="Times New Roman"/>
          <w:sz w:val="17"/>
          <w:szCs w:val="17"/>
          <w:u w:val="single" w:color="auto"/>
          <w:color w:val="auto"/>
        </w:rPr>
        <w:t xml:space="preserve"> Section 7.8 </w:t>
      </w:r>
      <w:r>
        <w:rPr>
          <w:rFonts w:ascii="Times New Roman" w:cs="Times New Roman" w:eastAsia="Times New Roman" w:hAnsi="Times New Roman"/>
          <w:sz w:val="17"/>
          <w:szCs w:val="17"/>
          <w:color w:val="auto"/>
        </w:rPr>
        <w:t>of the Receivables Purchase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OF PURCHASES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u w:val="single" w:color="auto"/>
          <w:color w:val="auto"/>
        </w:rPr>
        <w:t>Voluntary Termination</w:t>
      </w:r>
      <w:r>
        <w:rPr>
          <w:rFonts w:ascii="Times New Roman" w:cs="Times New Roman" w:eastAsia="Times New Roman" w:hAnsi="Times New Roman"/>
          <w:sz w:val="18"/>
          <w:szCs w:val="18"/>
          <w:color w:val="auto"/>
        </w:rPr>
        <w:t>. The sale or contribution by Originator of Receivables and Related Assets, as applicable, by Originator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may be terminated by any party hereto, upon reasonable notice to the other parties hereto, at any time when the Purchasers’ Total Investment is equal to zero and no Commitment is outstanding under the Receivables Purchase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Automatic Termination</w:t>
      </w:r>
      <w:r>
        <w:rPr>
          <w:rFonts w:ascii="Times New Roman" w:cs="Times New Roman" w:eastAsia="Times New Roman" w:hAnsi="Times New Roman"/>
          <w:sz w:val="18"/>
          <w:szCs w:val="18"/>
          <w:color w:val="auto"/>
        </w:rPr>
        <w:t>. The sale or contribution of Receivables and Related Assets, as applicable, by Originator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automatically terminate if (a) an Event of Bankruptcy shall have occurred and remain continuing with respect to Originator or Buyer, (b) the Buyer’s net worth (as calculated in accordance with generally accepted accounting principles consistently applied), at any time, is less than $8,000,000 or (c) all Obligations have been indefeasibly paid and satisfied.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u w:val="single" w:color="auto"/>
          <w:color w:val="auto"/>
        </w:rPr>
        <w:t>Originator’s Indemnity</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General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limiting any other rights which any such Person may have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applicable Law, but subject to </w:t>
      </w:r>
      <w:r>
        <w:rPr>
          <w:rFonts w:ascii="Times New Roman" w:cs="Times New Roman" w:eastAsia="Times New Roman" w:hAnsi="Times New Roman"/>
          <w:sz w:val="18"/>
          <w:szCs w:val="18"/>
          <w:u w:val="single" w:color="auto"/>
          <w:color w:val="auto"/>
        </w:rPr>
        <w:t>Sections 7.1(b)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Originator hereby agrees to indemnify and hold harmless Buyer, Buyer’s Affiliates and all of their respective successors, transferees, participants and assigns, all Persons referred to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and all officers, members, managers, directors, shareholders, controlling persons, employees and agents of any of the foregoing (each an “</w:t>
      </w:r>
      <w:r>
        <w:rPr>
          <w:rFonts w:ascii="Times New Roman" w:cs="Times New Roman" w:eastAsia="Times New Roman" w:hAnsi="Times New Roman"/>
          <w:sz w:val="18"/>
          <w:szCs w:val="18"/>
          <w:u w:val="single" w:color="auto"/>
          <w:color w:val="auto"/>
        </w:rPr>
        <w:t>Originator Indemnified Party</w:t>
      </w:r>
      <w:r>
        <w:rPr>
          <w:rFonts w:ascii="Times New Roman" w:cs="Times New Roman" w:eastAsia="Times New Roman" w:hAnsi="Times New Roman"/>
          <w:sz w:val="18"/>
          <w:szCs w:val="18"/>
          <w:color w:val="auto"/>
        </w:rPr>
        <w:t>”), forthwith on demand, from and against any and all damages, losses, claims, liabilities and related reasonable and documented out-of-pocket costs and expenses (including all filing fees), including attorneys’, consultants’ and accountants’ fees and disbursements but excluding all Excluded Taxes (all of the foregoing being collectively referred to as “</w:t>
      </w:r>
      <w:r>
        <w:rPr>
          <w:rFonts w:ascii="Times New Roman" w:cs="Times New Roman" w:eastAsia="Times New Roman" w:hAnsi="Times New Roman"/>
          <w:sz w:val="18"/>
          <w:szCs w:val="18"/>
          <w:u w:val="single" w:color="auto"/>
          <w:color w:val="auto"/>
        </w:rPr>
        <w:t>Originator Indemnified Amounts</w:t>
      </w:r>
      <w:r>
        <w:rPr>
          <w:rFonts w:ascii="Times New Roman" w:cs="Times New Roman" w:eastAsia="Times New Roman" w:hAnsi="Times New Roman"/>
          <w:sz w:val="18"/>
          <w:szCs w:val="18"/>
          <w:color w:val="auto"/>
        </w:rPr>
        <w:t xml:space="preserve">”) awarded against or incurred by any of them arising out of, relating to or in connection with the Transaction Documents, any of the transactions contemplated thereby (including the issuance of, or the fronting for, any Letter of Credit), the ownership, maintenance or purchasing of the Receivables or in respect of or related to any Receivable or Related Assets, the issuance or drawing of any Letter of Credit or arising out of or relating to or in connection with the actions of Buyer, MPI, Performance Guarantor, Originator or any Affiliate of any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anything to the contrary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sectPr>
      </w:pPr>
    </w:p>
    <w:bookmarkStart w:id="570" w:name="page571"/>
    <w:bookmarkEnd w:id="57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Originator Indemnified Amounts shall be excluded solely to the extent (x) they have resulted solely from the gross negligence or willful misconduct on the part of such Originator Indemnified Party and (y) they constitute recourse with respect to a Receivable by reason of the bankruptcy or insolvency, or the financial or credit condition or financial default, of the related Obligor. Without limiting the foregoing, Originator shall indemnify, subject to the express limitations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and hold harmless each Originator Indemnified Party for any and all Originator Indemnified Amounts arising out of, relating to, or in connection with:</w:t>
      </w:r>
    </w:p>
    <w:p>
      <w:pPr>
        <w:spacing w:after="0" w:line="184" w:lineRule="exact"/>
        <w:rPr>
          <w:sz w:val="20"/>
          <w:szCs w:val="20"/>
          <w:color w:val="auto"/>
        </w:rPr>
      </w:pPr>
    </w:p>
    <w:p>
      <w:pPr>
        <w:jc w:val="both"/>
        <w:ind w:left="1300" w:firstLine="653"/>
        <w:spacing w:after="0" w:line="282" w:lineRule="auto"/>
        <w:tabs>
          <w:tab w:leader="none" w:pos="2441"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by Originator of any interest in any Receivable other than the sale or contribution, as applicable, of any Receivable and Related Assets to Buyer pursuant to this Agreement and the grant of a security interest to Buyer pursuant to this Agreement;</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49"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Originator (or any of its officers) under or in connection with any Transaction Document, any Information Package or any other information or report delivered by or on behalf of Originator pursuant hereto, which shall have been untrue, false or misleading when made or deemed made;</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0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Originator or Performance Guarantor to comply with the terms of any Transaction Document or any applicable Law (including with respect to any Receivable or the Related Assets), or the nonconformity of any Receivable or Related Assets with any such Law;</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447"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enforceable ownership interest or a first priority perfected Lien in the Receivables (and all Related Assets) transferred, or purported to be transferred, to Buyer pursuant to this Agreement against all Persons (including any bankruptcy trustee or similar Person);</w:t>
      </w:r>
    </w:p>
    <w:p>
      <w:pPr>
        <w:spacing w:after="0" w:line="176"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35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file, or any delay in filing of, financing statements or other similar instruments or documents under the UCC of any applicable jurisdiction or under any other applicable Laws with respect to any Receivable transferred by Originator, or purported to be transferred by Originator, to Buyer pursuant to this Agreement as may be necessary from time to time to perfect Buyer’s or the Agent’s interest therein;</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38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claim, offset or defense (other than discharge in bankruptcy) of the Obligor to the payment of any Receivable in, or purporting to be in, the Receivables Pool transferred, or purported to be transferred, to Buyer pursuant to this Agreement (including a defense based on such Receivable’s or the related Contract’s not being a legal, valid and binding obligation of such Obligor enforceable against it in accordance with its terms), or any other claim resulting from the sale of the merchandise or services related to such Receivable or the furnishing or failure to furnish such merchandise or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571" w:name="page572"/>
    <w:bookmarkEnd w:id="571"/>
    <w:p>
      <w:pPr>
        <w:ind w:left="1400" w:hanging="647"/>
        <w:spacing w:after="0"/>
        <w:tabs>
          <w:tab w:leader="none" w:pos="14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Originator to perform its duties or obligations in accordance with the provisions of any Transaction</w:t>
      </w:r>
    </w:p>
    <w:p>
      <w:pPr>
        <w:spacing w:after="0" w:line="27"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206"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3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suit or claim related to the Receivables transferred, or purported to be transferred, to Buyer pursuant to this Agreement (including any products liability or environmental liability claim arising out of or in connection with merchandise or services that are the subject of any such Receivable to the extent not covered pursuant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jc w:val="both"/>
        <w:ind w:left="100" w:firstLine="653"/>
        <w:spacing w:after="0" w:line="228" w:lineRule="exact"/>
        <w:tabs>
          <w:tab w:leader="none" w:pos="133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delivery,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delivery, possession, design, construction, use, maintenance, transportation, performance (whether or not according to specifications), operation (including the failure to operate or faulty operation), condition, return, sale, repossession or other disposition or safety of any Related Security (including claims for patent, trademark, or copyright infringement and claims for injury to persons or property, liability principles, or otherwise, and claims of breach of warranty, whether express or implied);</w:t>
      </w:r>
    </w:p>
    <w:p>
      <w:pPr>
        <w:spacing w:after="0" w:line="198" w:lineRule="exact"/>
        <w:rPr>
          <w:rFonts w:ascii="Times New Roman" w:cs="Times New Roman" w:eastAsia="Times New Roman" w:hAnsi="Times New Roman"/>
          <w:sz w:val="18"/>
          <w:szCs w:val="18"/>
          <w:color w:val="auto"/>
        </w:rPr>
      </w:pPr>
    </w:p>
    <w:p>
      <w:pPr>
        <w:jc w:val="both"/>
        <w:ind w:left="100" w:firstLine="653"/>
        <w:spacing w:after="0" w:line="261" w:lineRule="auto"/>
        <w:tabs>
          <w:tab w:leader="none" w:pos="114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Originator or any predecessor in interest to notify any Obligor of the assignment pursuant to the terms hereof of any Receivable to Buyer (and subsequently, pursuant to the Receivables Purchase Agreement, to Agent for the benefit of Purchasers) or the failure to require that payments (including any under the related insurance policies) be made directly to Buyer pursuant to the terms hereof (and subsequently, pursuant to the Receivables Purchase Agreement, to Agent for the benefit of Purchasers);</w:t>
      </w:r>
    </w:p>
    <w:p>
      <w:pPr>
        <w:spacing w:after="0" w:line="180" w:lineRule="exact"/>
        <w:rPr>
          <w:rFonts w:ascii="Times New Roman" w:cs="Times New Roman" w:eastAsia="Times New Roman" w:hAnsi="Times New Roman"/>
          <w:sz w:val="18"/>
          <w:szCs w:val="18"/>
          <w:color w:val="auto"/>
        </w:rPr>
      </w:pPr>
    </w:p>
    <w:p>
      <w:pPr>
        <w:ind w:left="1200" w:hanging="447"/>
        <w:spacing w:after="0"/>
        <w:tabs>
          <w:tab w:leader="none" w:pos="120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Originator to comply with the “bulk sales” or analogous Laws of any jurisdiction;</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58" w:lineRule="auto"/>
        <w:tabs>
          <w:tab w:leader="none" w:pos="1329"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(other than Excluded Taxes) imposed upon any Originator Indemnified Party or upon or with respect to the Receivables transferred, or purported to be transferred, to Buyer pursuant to this Agreement, all interest and penalties thereon or with respect thereto, and all costs and expenses related thereto or arising therefrom, including the fees and expenses of counsel in defending against the same, which Taxes or such amounts relating thereto arise by reason of the purchase or ownership, contribution or sale of any Receivables (or of any interest therein) or Related Assets or any goods which secure any such Receivables or Related Asset;</w:t>
      </w:r>
    </w:p>
    <w:p>
      <w:pPr>
        <w:spacing w:after="0" w:line="183" w:lineRule="exact"/>
        <w:rPr>
          <w:rFonts w:ascii="Times New Roman" w:cs="Times New Roman" w:eastAsia="Times New Roman" w:hAnsi="Times New Roman"/>
          <w:sz w:val="18"/>
          <w:szCs w:val="18"/>
          <w:color w:val="auto"/>
        </w:rPr>
      </w:pPr>
    </w:p>
    <w:p>
      <w:pPr>
        <w:ind w:left="100" w:right="20" w:firstLine="653"/>
        <w:spacing w:after="0" w:line="282" w:lineRule="auto"/>
        <w:tabs>
          <w:tab w:leader="none" w:pos="1288"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arising, directly or indirectly, as a result of the imposition of sales or analogous taxes or the failure by Originator to timely collect and remit to the appropriate authority any such taxes;</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298"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commingling by Originator or Servicer of any funds relating to the Receivables with any of its own funds or the funds of any other Person;</w:t>
      </w:r>
    </w:p>
    <w:p>
      <w:pPr>
        <w:spacing w:after="0" w:line="161" w:lineRule="exact"/>
        <w:rPr>
          <w:rFonts w:ascii="Times New Roman" w:cs="Times New Roman" w:eastAsia="Times New Roman" w:hAnsi="Times New Roman"/>
          <w:sz w:val="18"/>
          <w:szCs w:val="18"/>
          <w:color w:val="auto"/>
        </w:rPr>
      </w:pPr>
    </w:p>
    <w:p>
      <w:pPr>
        <w:ind w:left="1240" w:hanging="487"/>
        <w:spacing w:after="0"/>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delay to provide any Obligor with an invoice or other evidence of indebtedness; or</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20"/>
          </w:cols>
          <w:pgMar w:left="1440" w:top="363" w:right="239" w:bottom="1440" w:gutter="0" w:footer="0" w:header="0"/>
        </w:sectPr>
      </w:pPr>
    </w:p>
    <w:bookmarkStart w:id="572" w:name="page573"/>
    <w:bookmarkEnd w:id="572"/>
    <w:p>
      <w:pPr>
        <w:jc w:val="both"/>
        <w:ind w:left="1300" w:firstLine="653"/>
        <w:spacing w:after="0" w:line="222" w:lineRule="exact"/>
        <w:tabs>
          <w:tab w:leader="none" w:pos="2488"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of Originator or Buyer to assign any Receivable or other Related Asset as contemplated under the Transaction Documents; or the violation or breach by Originator of any confidentiality provision, or of any similar covenant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with respect to any Contract, or any other Indemnified Amount with respect to or resulting from any such violation or breach; or</w:t>
      </w:r>
    </w:p>
    <w:p>
      <w:pPr>
        <w:spacing w:after="0" w:line="199"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amounts paid or payable by the Buyer pursuant to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13.6</w:t>
      </w:r>
      <w:r>
        <w:rPr>
          <w:rFonts w:ascii="Times New Roman" w:cs="Times New Roman" w:eastAsia="Times New Roman" w:hAnsi="Times New Roman"/>
          <w:sz w:val="18"/>
          <w:szCs w:val="18"/>
          <w:color w:val="auto"/>
        </w:rPr>
        <w:t xml:space="preserve"> of the Receivables Purchase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78" w:lineRule="exact"/>
        <w:rPr>
          <w:rFonts w:ascii="Times New Roman" w:cs="Times New Roman" w:eastAsia="Times New Roman" w:hAnsi="Times New Roman"/>
          <w:sz w:val="18"/>
          <w:szCs w:val="18"/>
          <w:color w:val="auto"/>
        </w:rPr>
      </w:pPr>
    </w:p>
    <w:p>
      <w:pPr>
        <w:jc w:val="both"/>
        <w:ind w:left="740" w:firstLine="646"/>
        <w:spacing w:after="0" w:line="222" w:lineRule="exact"/>
        <w:tabs>
          <w:tab w:leader="none" w:pos="1791"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Contest of Tax Claim; After</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Tax Basis</w:t>
      </w:r>
      <w:r>
        <w:rPr>
          <w:rFonts w:ascii="Times New Roman" w:cs="Times New Roman" w:eastAsia="Times New Roman" w:hAnsi="Times New Roman"/>
          <w:sz w:val="18"/>
          <w:szCs w:val="18"/>
          <w:color w:val="auto"/>
        </w:rPr>
        <w:t xml:space="preserve">. If any Originator Indemnified Party shall have notice of any attempt to impose or collect any Tax or governmental fee or charge for which indemnification will be sought from Originator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such Originator Indemnified Party shall give prompt and timely notice of such attempt to Originator, and Originator shall have the right, at its sole expense, to participate in any proceedings resisting or objecting to the imposition or collection of any such Tax, governmental fee or charge. Indemnification in respect of such tax, governmental fee or charge shall be in an amount necessary to make such Originator Indemnified Party whole after taking into account any tax consequences to such Originator Indemnified Party of the payment of any of the aforesaid Taxes and the receipt of the indemnity provided hereunder or of any refund of any such Tax previously indemnified hereunder, including the effect of such Tax or refund on the amount of Tax measured by net income or profits which is or was payable by such Originator Indemnified Party.</w:t>
      </w:r>
    </w:p>
    <w:p>
      <w:pPr>
        <w:spacing w:after="0" w:line="200" w:lineRule="exact"/>
        <w:rPr>
          <w:rFonts w:ascii="Times New Roman" w:cs="Times New Roman" w:eastAsia="Times New Roman" w:hAnsi="Times New Roman"/>
          <w:sz w:val="18"/>
          <w:szCs w:val="18"/>
          <w:color w:val="auto"/>
        </w:rPr>
      </w:pPr>
    </w:p>
    <w:p>
      <w:pPr>
        <w:jc w:val="both"/>
        <w:ind w:left="740" w:firstLine="646"/>
        <w:spacing w:after="0" w:line="261" w:lineRule="auto"/>
        <w:tabs>
          <w:tab w:leader="none" w:pos="1768"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Notwithstanding the foregoing, the indemnities provided for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not be payable by Originator solely with respect to any settlements entered into by any Originator Indemnified Party with any third-party that is not an Affiliate of Seller, Servicer, Originator or Performance Guarantor that was effected without Originator’s written consent, such consent not to be unreasonably withheld, conditioned or delayed.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for any reason the indemnification provided above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unavailable to an Originator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or is insufficient to hold an Originator Indemnified Party harmless, then Originator shall contribute to the amount paid or payable by such Originator Indemnified Party as a result of such loss, claim, damage or liability in such proportion as is appropriate to reflect not only the relative benefits received by such Originator Indemnified Party on the one hand and Originator on the other hand but also the relative fault of such Originator Indemnified Party as well as any other relevant equitable considerations.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or waiver of any provision of this Agreement nor consent to any departure by Originator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therefrom shall in any event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65" w:right="239" w:bottom="1440" w:gutter="0" w:footer="0" w:header="0"/>
        </w:sectPr>
      </w:pPr>
    </w:p>
    <w:bookmarkStart w:id="573" w:name="page574"/>
    <w:bookmarkEnd w:id="573"/>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effective unless the same shall be in writing and signed by Buyer, Originator, Agent, the Required Purchaser Agents and each LOC Issuer, and if such amendment or waiver affects the obligations of the Performance Guarantor, the Performance Guarantor consents in writing thereto, and then any such waiver or consent shall be effective only in the specific instance and for the specific purpose for which given. Originator may not amend or otherwise modify any other Transaction Document executed by it without the written consent of Buyer, each LOC Issuer, the Required Purchaser Agents and Agent, and if such amendment or waiver affects the obligations of the Performance Guarantor, the Performance Guarantor consents in writing thereto.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Agent, Buyer, any Originator Indemnified Party, any other Secured Party,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Liquidity Provider, any LOC Issuer or any other holder of the Receivables (or any portion thereof) to exercise, and no delay in exercising, any right, power or remedy hereunder shall operate as a waiver thereof; nor shall any single or partial exercise of any right, power or remedy hereunder preclude any other or further exercise thereof or the exercise of any other right, power or remedy. The rights and remedies herein provided are cumulative and not exclusive of any rights or remedies provided by Law. Without limiting the foregoing, BTMUNY, individually and as Agent, each Purchaser Agent, each Liquidity Provider, each LOC Issuer and any of their Affiliates (the “</w:t>
      </w:r>
      <w:r>
        <w:rPr>
          <w:rFonts w:ascii="Times New Roman" w:cs="Times New Roman" w:eastAsia="Times New Roman" w:hAnsi="Times New Roman"/>
          <w:sz w:val="18"/>
          <w:szCs w:val="18"/>
          <w:u w:val="single" w:color="auto"/>
          <w:color w:val="auto"/>
        </w:rPr>
        <w:t>Set-off Parties</w:t>
      </w:r>
      <w:r>
        <w:rPr>
          <w:rFonts w:ascii="Times New Roman" w:cs="Times New Roman" w:eastAsia="Times New Roman" w:hAnsi="Times New Roman"/>
          <w:sz w:val="18"/>
          <w:szCs w:val="18"/>
          <w:color w:val="auto"/>
        </w:rPr>
        <w:t xml:space="preserve">”) are each hereby authorized by the parties hereto, at any time and from time to time, to the fullest extent permitted by Law, to set off and apply any and all deposits (general or special, time or demand, provisional or final) at any time held by and other indebtedness at any time owing to any such Set-off Party to or for the credit to the account of the parties hereto, against all obligations of Originator, now or hereafter existing under this Agreement or any other Transaction Document (other than in respect of any repayment of Purchasers’ Total Investment or Yield by Buyer pursuant to the Receivables Purchase Agreement), to any Affected Party, any Indemnified Party or any other Secured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Originator or Buyer, as applicable, shall be notified by the applicable Set-Off party concurrently with or prior to such setoff.</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and other communications provided for hereunder shall, unless otherwise stated herein,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facsimile and email communication) and shall be personally delivered or sent by express mail or nationally recognized overnight courier or by certified mail, first class postage prepaid or by facsimile or email, to the intended party at the address, facsimile number or email address of such party set forth in </w:t>
      </w:r>
      <w:r>
        <w:rPr>
          <w:rFonts w:ascii="Times New Roman" w:cs="Times New Roman" w:eastAsia="Times New Roman" w:hAnsi="Times New Roman"/>
          <w:sz w:val="18"/>
          <w:szCs w:val="18"/>
          <w:u w:val="single" w:color="auto"/>
          <w:color w:val="auto"/>
        </w:rPr>
        <w:t>Annex 3</w:t>
      </w:r>
      <w:r>
        <w:rPr>
          <w:rFonts w:ascii="Times New Roman" w:cs="Times New Roman" w:eastAsia="Times New Roman" w:hAnsi="Times New Roman"/>
          <w:sz w:val="18"/>
          <w:szCs w:val="18"/>
          <w:color w:val="auto"/>
        </w:rPr>
        <w:t xml:space="preserve"> or at such other address or facsimile number as shall be designated by such party in a written notice to the other parties hereto. All such notices and communications shall be effective, (a) if personally delivered or sent by express mail or courier or if sent by certified mail, when received, and (b) if transmitted by facsimile or email, when receipt is confirmed by telephone or electronic means.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8.4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Originator acknowledges that institutions providing financing (by way of loans, purchase of,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Letters of Credit supported by Receivables or interests therein) pursuant to the Receivables Purchase Agreement may rely upon the terms of this Agreement. This Agreement shall be binding upon and inure to the benefit of the parties hereto and their respective successors and assigns and shall also, to the extent provided herein, inure to the benefit of the parties to the Receivables Purchase Agreement. Originator acknowledges that Buyer’s rights under this Agreement may be assigned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64" w:right="239" w:bottom="1440" w:gutter="0" w:footer="0" w:header="0"/>
        </w:sectPr>
      </w:pPr>
    </w:p>
    <w:bookmarkStart w:id="574" w:name="page575"/>
    <w:bookmarkEnd w:id="574"/>
    <w:p>
      <w:pPr>
        <w:jc w:val="both"/>
        <w:spacing w:after="0" w:line="266" w:lineRule="auto"/>
        <w:rPr>
          <w:sz w:val="20"/>
          <w:szCs w:val="20"/>
          <w:color w:val="auto"/>
        </w:rPr>
      </w:pPr>
      <w:r>
        <w:rPr>
          <w:rFonts w:ascii="Times New Roman" w:cs="Times New Roman" w:eastAsia="Times New Roman" w:hAnsi="Times New Roman"/>
          <w:sz w:val="18"/>
          <w:szCs w:val="18"/>
          <w:color w:val="auto"/>
        </w:rPr>
        <w:t>to Agent, Purchaser Agents, Committed Purchasers, Conduit Purchasers or other Secured Parties under the Receivables Purchase Agreement, consents to such assignment and to the exercise of those rights directly by any such Person to the extent permitted by the Receivables Purchase Agreement and acknowledges and agrees that each of such Persons and each of their respective successors and assigns are express third party beneficiaries of this Agreement.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remedies with respect to any breach of any representation and warranty made by Originator or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indemnification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8.14</w:t>
      </w:r>
      <w:r>
        <w:rPr>
          <w:rFonts w:ascii="Times New Roman" w:cs="Times New Roman" w:eastAsia="Times New Roman" w:hAnsi="Times New Roman"/>
          <w:sz w:val="18"/>
          <w:szCs w:val="18"/>
          <w:color w:val="auto"/>
        </w:rPr>
        <w:t xml:space="preserve"> shall survive any termination of this Agreement.</w:t>
      </w:r>
    </w:p>
    <w:p>
      <w:pPr>
        <w:spacing w:after="0" w:line="17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8.6</w:t>
      </w:r>
      <w:r>
        <w:rPr>
          <w:sz w:val="20"/>
          <w:szCs w:val="20"/>
          <w:color w:val="auto"/>
        </w:rPr>
        <w:tab/>
      </w:r>
      <w:r>
        <w:rPr>
          <w:rFonts w:ascii="Times New Roman" w:cs="Times New Roman" w:eastAsia="Times New Roman" w:hAnsi="Times New Roman"/>
          <w:sz w:val="17"/>
          <w:szCs w:val="17"/>
          <w:u w:val="single" w:color="auto"/>
          <w:color w:val="auto"/>
        </w:rPr>
        <w:t>Costs, Expenses and Taxes</w:t>
      </w:r>
      <w:r>
        <w:rPr>
          <w:rFonts w:ascii="Times New Roman" w:cs="Times New Roman" w:eastAsia="Times New Roman" w:hAnsi="Times New Roman"/>
          <w:sz w:val="17"/>
          <w:szCs w:val="17"/>
          <w:color w:val="auto"/>
        </w:rPr>
        <w:t>. In addition to its obligations under</w:t>
      </w:r>
      <w:r>
        <w:rPr>
          <w:rFonts w:ascii="Times New Roman" w:cs="Times New Roman" w:eastAsia="Times New Roman" w:hAnsi="Times New Roman"/>
          <w:sz w:val="17"/>
          <w:szCs w:val="17"/>
          <w:u w:val="single" w:color="auto"/>
          <w:color w:val="auto"/>
        </w:rPr>
        <w:t xml:space="preserve"> Section 7</w:t>
      </w:r>
      <w:r>
        <w:rPr>
          <w:rFonts w:ascii="Times New Roman" w:cs="Times New Roman" w:eastAsia="Times New Roman" w:hAnsi="Times New Roman"/>
          <w:sz w:val="17"/>
          <w:szCs w:val="17"/>
          <w:color w:val="auto"/>
        </w:rPr>
        <w:t>, Originator agrees to pay on demand:</w:t>
      </w:r>
    </w:p>
    <w:p>
      <w:pPr>
        <w:spacing w:after="0" w:line="229" w:lineRule="exact"/>
        <w:rPr>
          <w:sz w:val="20"/>
          <w:szCs w:val="20"/>
          <w:color w:val="auto"/>
        </w:rPr>
      </w:pPr>
    </w:p>
    <w:p>
      <w:pPr>
        <w:ind w:left="740" w:firstLine="646"/>
        <w:spacing w:after="0" w:line="282" w:lineRule="auto"/>
        <w:tabs>
          <w:tab w:leader="none" w:pos="1822"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Buyer and any other Originator Indemnified Party in connection with:</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56" w:lineRule="auto"/>
        <w:tabs>
          <w:tab w:leader="none" w:pos="2446"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preparation, execution and delivery of this Agreement and the other Transaction Documents and any amendment of or consent or waiver under any of the Transaction Documents (whether or not consummated) including accountants’, auditors’, consultants’ and attorneys’ fees of single counsel (and, if necessary, one local counsel in each applicable jurisdiction and regulatory counsel), and expenses to any of such Persons and the fees and charges of any nationally recognized statistical rating agency and independent accountants, auditors, consultants or other agents incurred in connection with any of the foregoing or in advising such Persons as to their respective rights and remedies under any of the Transaction Documents in connection with any of the foregoing; and</w:t>
      </w:r>
    </w:p>
    <w:p>
      <w:pPr>
        <w:spacing w:after="0" w:line="187"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50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limitations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the administration of this Agreement and the other Transaction Documents and the transactions contemplated thereby, including all expenses and accountants, consultants, and attorneys’ fees incurred in connection with the administration and maintenance of this Agreement and the other Transaction Documents and the transactions contemplated thereby; and</w:t>
      </w:r>
    </w:p>
    <w:p>
      <w:pPr>
        <w:spacing w:after="0" w:line="180" w:lineRule="exact"/>
        <w:rPr>
          <w:rFonts w:ascii="Times New Roman" w:cs="Times New Roman" w:eastAsia="Times New Roman" w:hAnsi="Times New Roman"/>
          <w:sz w:val="18"/>
          <w:szCs w:val="18"/>
          <w:color w:val="auto"/>
        </w:rPr>
      </w:pPr>
    </w:p>
    <w:p>
      <w:pPr>
        <w:jc w:val="both"/>
        <w:ind w:left="740" w:firstLine="646"/>
        <w:spacing w:after="0" w:line="255" w:lineRule="auto"/>
        <w:tabs>
          <w:tab w:leader="none" w:pos="1948"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costs and expenses incurred by or on behalf Buyer and any other Originator Indemnified Party in connection with the enforcement of, or any actual or claimed breach of, this Agreement or any of the other Transaction Documents, including accountants’, auditors’, consultants’ and attorneys’ fees and expenses (which for the avoidance of doubt shall not be limited to a single counsel but shall be limited to a single counsel for each Purchaser Group (and if necessary, one local counsel in each applicable jurisdiction and regulatory counsel)) to any of such Persons and the fees and charges of any nationally recognized statistical rating agency or any independent accountants, auditors, consultants or other agents incurred in connection with any of the foregoing or in advising such Persons as to their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64" w:right="239" w:bottom="1440" w:gutter="0" w:footer="0" w:header="0"/>
        </w:sectPr>
      </w:pPr>
    </w:p>
    <w:bookmarkStart w:id="575" w:name="page576"/>
    <w:bookmarkEnd w:id="575"/>
    <w:p>
      <w:pPr>
        <w:ind w:left="740"/>
        <w:spacing w:after="0"/>
        <w:rPr>
          <w:sz w:val="20"/>
          <w:szCs w:val="20"/>
          <w:color w:val="auto"/>
        </w:rPr>
      </w:pPr>
      <w:r>
        <w:rPr>
          <w:rFonts w:ascii="Times New Roman" w:cs="Times New Roman" w:eastAsia="Times New Roman" w:hAnsi="Times New Roman"/>
          <w:sz w:val="18"/>
          <w:szCs w:val="18"/>
          <w:color w:val="auto"/>
        </w:rPr>
        <w:t>respective rights and remedies under any of the Transaction Documents in connection with any of the foregoing.</w:t>
      </w:r>
    </w:p>
    <w:p>
      <w:pPr>
        <w:spacing w:after="0" w:line="225" w:lineRule="exact"/>
        <w:rPr>
          <w:sz w:val="20"/>
          <w:szCs w:val="20"/>
          <w:color w:val="auto"/>
        </w:rPr>
      </w:pPr>
    </w:p>
    <w:p>
      <w:pPr>
        <w:ind w:left="740" w:firstLine="646"/>
        <w:spacing w:after="0" w:line="282" w:lineRule="auto"/>
        <w:tabs>
          <w:tab w:leader="none" w:pos="1887"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stamp and other taxes and fees payable or determined to be payable in connection with the execution, delivery, filing and recording of this Agreement or the other Transaction Documents.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8.7 </w:t>
      </w:r>
      <w:r>
        <w:rPr>
          <w:rFonts w:ascii="Times New Roman" w:cs="Times New Roman" w:eastAsia="Times New Roman" w:hAnsi="Times New Roman"/>
          <w:sz w:val="18"/>
          <w:szCs w:val="18"/>
          <w:u w:val="single" w:color="auto"/>
          <w:color w:val="auto"/>
        </w:rPr>
        <w:t>Execution in Counterparts; Integration</w:t>
      </w:r>
      <w:r>
        <w:rPr>
          <w:rFonts w:ascii="Times New Roman" w:cs="Times New Roman" w:eastAsia="Times New Roman" w:hAnsi="Times New Roman"/>
          <w:sz w:val="18"/>
          <w:szCs w:val="18"/>
          <w:color w:val="auto"/>
        </w:rPr>
        <w:t>. This Agreement may be executed in any number of counterparts and by the different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separate counterparts, each of which when so executed shall be deemed to be an original and all of which when taken together shall constitute one and the same Agreement. Executed counterparts may be delivered electronically. This Agreement, together with the other Transaction Documents, contains a final and complete integration of all prior expressions by the parties hereto with respect to the subject matter hereof and shall constitute the entire understanding among the parties hereto with respect to the subject matter hereof, superseding all prior oral or written understandings.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INCLUDING THE RIGHTS AND DUTIES OF THE PARTIES HERETO,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BUYER IN THE RECEIVABLES OR RELATED ASSETS IS GOVERNED BY THE LAWS OF A JURISDICTION OTHER THAN THE STATE OF NEW YORK).</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8.9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ORIGINATOR AND BUYER HEREBY EXPRESSLY WAIVES ANY RIGHT TO A TRIAL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JURY IN ANY ACTION OR PROCEEDING TO ENFORCE OR DEFEND ANY RIGHTS UNDER THIS AGREEMENT, ANY OTHER TRANSACTION DOCUMENT OR UNDER ANY AMENDMENT, INSTRUMENT OR DOCUMENT DELIVERED OR WHICH MAY IN THE FUTURE BE DELIVERED IN CONNECTION HEREWITH OR ARISING FROM ANY BANKING OR OTHER RELATIONSHIP EXISTING IN CONNECTION WITH THIS AGREEMENT OR ANY OTHER TRANSACTION DOCUMENT AND AGREES THAT ANY SUCH ACTION OR PROCEEDING SHALL BE TRIED BEFORE A COURT AND NOT A JURY.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u w:val="single" w:color="auto"/>
          <w:color w:val="auto"/>
        </w:rPr>
        <w:t>Consent to Jurisdiction; Waiver of Immunities</w:t>
      </w:r>
      <w:r>
        <w:rPr>
          <w:rFonts w:ascii="Times New Roman" w:cs="Times New Roman" w:eastAsia="Times New Roman" w:hAnsi="Times New Roman"/>
          <w:sz w:val="18"/>
          <w:szCs w:val="18"/>
          <w:color w:val="auto"/>
        </w:rPr>
        <w:t>. EACH OF ORIGINATOR AND BUYER HEREBY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w:t>
      </w:r>
    </w:p>
    <w:p>
      <w:pPr>
        <w:spacing w:after="0" w:line="159" w:lineRule="exact"/>
        <w:rPr>
          <w:sz w:val="20"/>
          <w:szCs w:val="20"/>
          <w:color w:val="auto"/>
        </w:rPr>
      </w:pPr>
    </w:p>
    <w:p>
      <w:pPr>
        <w:jc w:val="both"/>
        <w:ind w:left="740" w:firstLine="646"/>
        <w:spacing w:after="0" w:line="258" w:lineRule="auto"/>
        <w:tabs>
          <w:tab w:leader="none" w:pos="1882"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IRREVOCABLY (i) SUBMITS TO THE JURISDICTION, FIRST, OF ANY UNITED STATES FEDERAL COURT, AND SECOND, IF FEDERAL JURISDICTION IS NOT AVAILABLE, OF ANY NEW YORK STATE COURT, IN EITHER CASE SITTING IN NEW YORK CITY, NEW YORK IN ANY ACTION OR PROCEEDING ARISING OUT OF OR RELATING TO THIS AGREEMENT OR ANY OTHER TRANSACTION DOCUMENT, (ii) AGREES THAT ALL CLAIMS IN RESPECT OF SUCH ACTION OR PROCEEDING MAY BE HEARD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4" w:right="239" w:bottom="1440" w:gutter="0" w:footer="0" w:header="0"/>
        </w:sectPr>
      </w:pPr>
    </w:p>
    <w:bookmarkStart w:id="576" w:name="page577"/>
    <w:bookmarkEnd w:id="576"/>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DETERMINED ONLY IN SUCH NEW YORK STATE OR FEDERAL COURT AND NOT IN ANY OTHER COURT, AND (iii) WAIVES, TO THE FULLEST EXTENT IT MAY EFFECTIVELY DO SO, THE DEFENSE OF AN INCONVENIENT FORUM TO THE MAINTENANCE OF SUCH ACTION OR PROCEEDING.</w:t>
      </w:r>
    </w:p>
    <w:p>
      <w:pPr>
        <w:spacing w:after="0" w:line="176" w:lineRule="exact"/>
        <w:rPr>
          <w:sz w:val="20"/>
          <w:szCs w:val="20"/>
          <w:color w:val="auto"/>
        </w:rPr>
      </w:pPr>
    </w:p>
    <w:p>
      <w:pPr>
        <w:jc w:val="both"/>
        <w:ind w:left="740" w:firstLine="646"/>
        <w:spacing w:after="0" w:line="258" w:lineRule="auto"/>
        <w:tabs>
          <w:tab w:leader="none" w:pos="179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party hereto agrees to comply with, and be bound by, the confidentiality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Purchase Agreement as if they were set forth herein mutatis mutandis.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Originator agrees, for the benefit of the parties to the Receivables Purchase Agreement, that it will not institute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Buyer, or join any other Person in instituting against Buyer, any proceeding of a type referred to in the definition of Event of Bankruptcy from the Closing Date until one year plus one day after no investment, loan or commitment is outstanding under the Receivables Purchase Agreement and all Commitments thereunder have terminated. In addition, all amounts payable by Buyer to Originator pursuant to this Agreement shall be payable solely from funds available for that purpose (after Buyer has satisfied all obligations then due and owing under the Receivables Purchase Agreement).</w:t>
      </w:r>
    </w:p>
    <w:p>
      <w:pPr>
        <w:spacing w:after="0" w:line="18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u w:val="single" w:color="auto"/>
          <w:color w:val="auto"/>
        </w:rPr>
        <w:t>No Recourse Against Other Parties</w:t>
      </w:r>
      <w:r>
        <w:rPr>
          <w:rFonts w:ascii="Times New Roman" w:cs="Times New Roman" w:eastAsia="Times New Roman" w:hAnsi="Times New Roman"/>
          <w:sz w:val="18"/>
          <w:szCs w:val="18"/>
          <w:color w:val="auto"/>
        </w:rPr>
        <w:t>. No recourse under any obligation, covenant or agreement of Buyer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had against any stockholder, employee, officer, director, member, manager incorporator or organizer of Buyer.</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It is the intention of the parties to this Agreement that the conveyance of Originator’s right, title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and to the Receivables, the Related Assets and all the proceeds of all of the foregoing to Buyer pursuant to this Agreement shall constitute an absolute and irrevocable purchase and sale or capital contribution, as applicable, and not a loan or pledge. If, notwithstanding the foregoing and the other provisions hereof, the conveyance of the Receivables and the Related Assets to Buyer is characterized by any third party as a loan or pledge, the parties intend that Originator shall be deemed hereunder to have granted, and Originator does hereby grant, to Buyer a first priority perfected security interest to secure Originator’s obligations hereunder in all of Originator’s right, title and interest in, to and under the Receivables and the Related Assets, in each case whether now owned or existing, hereafter arising, acquired or originated, or in which the Originator now or hereinafter has any rights, and wherever so located, and that this Agreement shall constitute a security agreement under applicable law.</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u w:val="single" w:color="auto"/>
          <w:color w:val="auto"/>
        </w:rPr>
        <w:t>Binding Terms in Other Transaction Documents</w:t>
      </w:r>
      <w:r>
        <w:rPr>
          <w:rFonts w:ascii="Times New Roman" w:cs="Times New Roman" w:eastAsia="Times New Roman" w:hAnsi="Times New Roman"/>
          <w:sz w:val="18"/>
          <w:szCs w:val="18"/>
          <w:color w:val="auto"/>
        </w:rPr>
        <w:t>. Originator hereby makes for the benefit of Buyer, Agent, each Purchaser,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Agent, each LOC</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4" w:right="239" w:bottom="1440" w:gutter="0" w:footer="0" w:header="0"/>
        </w:sectPr>
      </w:pPr>
    </w:p>
    <w:bookmarkStart w:id="577" w:name="page578"/>
    <w:bookmarkEnd w:id="577"/>
    <w:p>
      <w:pPr>
        <w:jc w:val="both"/>
        <w:spacing w:after="0" w:line="266" w:lineRule="auto"/>
        <w:rPr>
          <w:sz w:val="20"/>
          <w:szCs w:val="20"/>
          <w:color w:val="auto"/>
        </w:rPr>
      </w:pPr>
      <w:r>
        <w:rPr>
          <w:rFonts w:ascii="Times New Roman" w:cs="Times New Roman" w:eastAsia="Times New Roman" w:hAnsi="Times New Roman"/>
          <w:sz w:val="18"/>
          <w:szCs w:val="18"/>
          <w:color w:val="auto"/>
        </w:rPr>
        <w:t>Issuer, each Enhancement Provider, each Liquidity Provider and any other agent for Purchaser, each of the representations, warranties, covenants, and agreements, and accepts all other binding terms, including the waiver of any rights, which are made applicable to Originator in any other Transaction Document, each as if the same (together with any provisions incorporated therein by reference) were set forth in full herein.</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provisions of this Agreement which are prohibited or unenforceable in any jurisdiction shall,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8.17 </w:t>
      </w:r>
      <w:r>
        <w:rPr>
          <w:rFonts w:ascii="Times New Roman" w:cs="Times New Roman" w:eastAsia="Times New Roman" w:hAnsi="Times New Roman"/>
          <w:sz w:val="18"/>
          <w:szCs w:val="18"/>
          <w:u w:val="single" w:color="auto"/>
          <w:color w:val="auto"/>
        </w:rPr>
        <w:t>Effect of Agreement</w:t>
      </w:r>
      <w:r>
        <w:rPr>
          <w:rFonts w:ascii="Times New Roman" w:cs="Times New Roman" w:eastAsia="Times New Roman" w:hAnsi="Times New Roman"/>
          <w:sz w:val="18"/>
          <w:szCs w:val="18"/>
          <w:color w:val="auto"/>
        </w:rPr>
        <w:t>. This Agreement amends and restates that certain Purchase and Contribution Agreement,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21, 2012 (as amended, supplemented or otherwise modified prior to the date hereof,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xml:space="preserve">”), among the parties hereto. This Agreement shall not effect a novation of any of the obligations of the parties to the Prior Agreement, but instead shall be merely a restatement and, when applicable, an amendment of the terms governing such obligations. Upon the effectiveness of this Agreement and the Receivables Purchase Agreement in accordance with their terms, the terms and provisions of the Prior Agreement shall, subject to this paragraph, be superseded hereby in their entirety. Notwithstanding the foregoing and for the avoidance of doubt, (a) all indemnification obligations of the Originator under the Prior Agreement shall survive this Agreement, (b) all sales and contributions of Receivables and Related Assets under the Prior Agreement by the Originator to the Buyer are hereby ratified and confirmed and shall survive this Agreement and (c) the security interests granted by the Originator pursuant to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of the Prior Agreement shall remain in full force and effect and shall survive this Agreement as security for all obligations of the Originator under the Prior Agreement until such obligations have been finally and fully paid and performed. Upon the effectiveness of this Agreement, each reference to the Prior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 or delivered in connection with the Prior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4" w:right="239" w:bottom="1440" w:gutter="0" w:footer="0" w:header="0"/>
        </w:sectPr>
      </w:pPr>
    </w:p>
    <w:bookmarkStart w:id="578" w:name="page579"/>
    <w:bookmarkEnd w:id="57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respective officers thereunto duly authorized,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MYLAN</w:t>
      </w:r>
    </w:p>
    <w:p>
      <w:pPr>
        <w:spacing w:after="0" w:line="3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PHARMACEUTICALS INC.</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Originator and as Servicer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Colleen Ostrowski</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Colleen Ostrowski</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MYLAN SECURITIZATION LLC,</w:t>
      </w:r>
    </w:p>
    <w:p>
      <w:pPr>
        <w:spacing w:after="0" w:line="6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as Buyer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Miraglia</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660"/>
        <w:spacing w:after="0"/>
        <w:tabs>
          <w:tab w:leader="none" w:pos="1006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4"/>
          <w:szCs w:val="14"/>
          <w:i w:val="1"/>
          <w:iCs w:val="1"/>
          <w:color w:val="auto"/>
        </w:rPr>
        <w:t>Amended and Restated</w:t>
      </w:r>
    </w:p>
    <w:p>
      <w:pPr>
        <w:spacing w:after="0" w:line="84"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i w:val="1"/>
          <w:iCs w:val="1"/>
          <w:color w:val="auto"/>
        </w:rPr>
        <w:t>Purchase and Contribution Agreement</w:t>
      </w:r>
    </w:p>
    <w:p>
      <w:pPr>
        <w:sectPr>
          <w:pgSz w:w="11900" w:h="16838" w:orient="portrait"/>
          <w:cols w:equalWidth="0" w:num="1">
            <w:col w:w="11420"/>
          </w:cols>
          <w:pgMar w:left="240" w:top="360" w:right="239" w:bottom="1440" w:gutter="0" w:footer="0" w:header="0"/>
        </w:sectPr>
      </w:pPr>
    </w:p>
    <w:bookmarkStart w:id="579" w:name="page580"/>
    <w:bookmarkEnd w:id="579"/>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10.41(b)</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MYLAN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401(k) RESTORATION PLAN</w:t>
      </w:r>
    </w:p>
    <w:p>
      <w:pPr>
        <w:spacing w:after="0" w:line="345" w:lineRule="exact"/>
        <w:rPr>
          <w:sz w:val="20"/>
          <w:szCs w:val="20"/>
          <w:color w:val="auto"/>
        </w:rPr>
      </w:pPr>
    </w:p>
    <w:p>
      <w:pPr>
        <w:ind w:right="60" w:firstLine="1297"/>
        <w:spacing w:after="0" w:line="249" w:lineRule="auto"/>
        <w:rPr>
          <w:sz w:val="20"/>
          <w:szCs w:val="20"/>
          <w:color w:val="auto"/>
        </w:rPr>
      </w:pPr>
      <w:r>
        <w:rPr>
          <w:rFonts w:ascii="Times New Roman" w:cs="Times New Roman" w:eastAsia="Times New Roman" w:hAnsi="Times New Roman"/>
          <w:sz w:val="22"/>
          <w:szCs w:val="22"/>
          <w:color w:val="auto"/>
        </w:rPr>
        <w:t>In accordance with a resolution duly adopted by the Board of Directors of Mylan Inc.,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Mylan Inc. 401(k) Restoration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other provisions of the Plan, as amended by the foregoing, shall remain in full force and effect notwithstanding the adoption of this amendment.</w:t>
      </w:r>
    </w:p>
    <w:p>
      <w:pPr>
        <w:sectPr>
          <w:pgSz w:w="11900" w:h="16838" w:orient="portrait"/>
          <w:cols w:equalWidth="0" w:num="1">
            <w:col w:w="11420"/>
          </w:cols>
          <w:pgMar w:left="240" w:top="126" w:right="239" w:bottom="1440" w:gutter="0" w:footer="0" w:header="0"/>
        </w:sectPr>
      </w:pPr>
    </w:p>
    <w:bookmarkStart w:id="580" w:name="page581"/>
    <w:bookmarkEnd w:id="580"/>
    <w:p>
      <w:pPr>
        <w:ind w:left="100"/>
        <w:spacing w:after="0"/>
        <w:rPr>
          <w:sz w:val="20"/>
          <w:szCs w:val="20"/>
          <w:color w:val="auto"/>
        </w:rPr>
      </w:pPr>
      <w:r>
        <w:rPr>
          <w:rFonts w:ascii="Times New Roman" w:cs="Times New Roman" w:eastAsia="Times New Roman" w:hAnsi="Times New Roman"/>
          <w:sz w:val="22"/>
          <w:szCs w:val="22"/>
          <w:color w:val="auto"/>
        </w:rPr>
        <w:t>IN WITNESS WHEREOF, the Company has executed this amendment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28575</wp:posOffset>
            </wp:positionV>
            <wp:extent cx="17583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Name: Robert J. Coury</w:t>
      </w:r>
    </w:p>
    <w:p>
      <w:pPr>
        <w:spacing w:after="0" w:line="44"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1"/>
          <w:szCs w:val="21"/>
          <w:color w:val="auto"/>
        </w:rPr>
        <w:t>Title: Executive Chairman</w:t>
      </w:r>
    </w:p>
    <w:p>
      <w:pPr>
        <w:spacing w:after="0" w:line="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Date: November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401(k) Restoration Plan Amendment</w:t>
      </w:r>
      <w:r>
        <w:rPr>
          <w:rFonts w:ascii="Times New Roman" w:cs="Times New Roman" w:eastAsia="Times New Roman" w:hAnsi="Times New Roman"/>
          <w:sz w:val="22"/>
          <w:szCs w:val="22"/>
          <w:color w:val="auto"/>
        </w:rPr>
        <w:t>]</w:t>
      </w:r>
    </w:p>
    <w:p>
      <w:pPr>
        <w:sectPr>
          <w:pgSz w:w="11900" w:h="16838" w:orient="portrait"/>
          <w:cols w:equalWidth="0" w:num="1">
            <w:col w:w="9760"/>
          </w:cols>
          <w:pgMar w:left="1440" w:top="449" w:right="699" w:bottom="1440" w:gutter="0" w:footer="0" w:header="0"/>
        </w:sectPr>
      </w:pPr>
    </w:p>
    <w:bookmarkStart w:id="581" w:name="page582"/>
    <w:bookmarkEnd w:id="581"/>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10.42(b)</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MYLAN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EXECUTIVE INCOME DEFERRAL PLAN</w:t>
      </w:r>
    </w:p>
    <w:p>
      <w:pPr>
        <w:spacing w:after="0" w:line="345" w:lineRule="exact"/>
        <w:rPr>
          <w:sz w:val="20"/>
          <w:szCs w:val="20"/>
          <w:color w:val="auto"/>
        </w:rPr>
      </w:pPr>
    </w:p>
    <w:p>
      <w:pPr>
        <w:ind w:right="60" w:firstLine="1297"/>
        <w:spacing w:after="0" w:line="249" w:lineRule="auto"/>
        <w:rPr>
          <w:sz w:val="20"/>
          <w:szCs w:val="20"/>
          <w:color w:val="auto"/>
        </w:rPr>
      </w:pPr>
      <w:r>
        <w:rPr>
          <w:rFonts w:ascii="Times New Roman" w:cs="Times New Roman" w:eastAsia="Times New Roman" w:hAnsi="Times New Roman"/>
          <w:sz w:val="22"/>
          <w:szCs w:val="22"/>
          <w:color w:val="auto"/>
        </w:rPr>
        <w:t>In accordance with a resolution duly adopted by the Board of Directors of Mylan Inc.,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Mylan Inc. Executive Income Deferral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All other provisions of the Plan, as amended by the foregoing, shall remain in full force and effect notwithstanding the adoption of this amendment.</w:t>
      </w:r>
    </w:p>
    <w:p>
      <w:pPr>
        <w:sectPr>
          <w:pgSz w:w="11900" w:h="16838" w:orient="portrait"/>
          <w:cols w:equalWidth="0" w:num="1">
            <w:col w:w="11420"/>
          </w:cols>
          <w:pgMar w:left="240" w:top="125" w:right="239" w:bottom="1440" w:gutter="0" w:footer="0" w:header="0"/>
        </w:sectPr>
      </w:pPr>
    </w:p>
    <w:bookmarkStart w:id="582" w:name="page583"/>
    <w:bookmarkEnd w:id="582"/>
    <w:p>
      <w:pPr>
        <w:ind w:left="100"/>
        <w:spacing w:after="0"/>
        <w:rPr>
          <w:sz w:val="20"/>
          <w:szCs w:val="20"/>
          <w:color w:val="auto"/>
        </w:rPr>
      </w:pPr>
      <w:r>
        <w:rPr>
          <w:rFonts w:ascii="Times New Roman" w:cs="Times New Roman" w:eastAsia="Times New Roman" w:hAnsi="Times New Roman"/>
          <w:sz w:val="21"/>
          <w:szCs w:val="21"/>
          <w:color w:val="auto"/>
        </w:rPr>
        <w:t>IN WITNESS WHEREOF, the Company has executed this amendment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28575</wp:posOffset>
            </wp:positionV>
            <wp:extent cx="24612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Name: Robert J. Coury</w:t>
      </w:r>
    </w:p>
    <w:p>
      <w:pPr>
        <w:spacing w:after="0" w:line="4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Title: Executive Chairman</w:t>
      </w:r>
    </w:p>
    <w:p>
      <w:pPr>
        <w:spacing w:after="0" w:line="4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2"/>
          <w:szCs w:val="22"/>
          <w:color w:val="auto"/>
        </w:rPr>
        <w:t>Date: November 4,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Executive Income Deferral Plan Amendment</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450" w:right="1440" w:bottom="1440" w:gutter="0" w:footer="0" w:header="0"/>
        </w:sectPr>
      </w:pPr>
    </w:p>
    <w:bookmarkStart w:id="583" w:name="page584"/>
    <w:bookmarkEnd w:id="583"/>
    <w:p>
      <w:pPr>
        <w:jc w:val="right"/>
        <w:spacing w:after="0"/>
        <w:rPr>
          <w:sz w:val="20"/>
          <w:szCs w:val="20"/>
          <w:color w:val="auto"/>
        </w:rPr>
      </w:pPr>
      <w:r>
        <w:rPr>
          <w:rFonts w:ascii="Times New Roman" w:cs="Times New Roman" w:eastAsia="Times New Roman" w:hAnsi="Times New Roman"/>
          <w:sz w:val="22"/>
          <w:szCs w:val="22"/>
          <w:b w:val="1"/>
          <w:bCs w:val="1"/>
          <w:color w:val="auto"/>
        </w:rPr>
        <w:t>Exhibit 10.56(a)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374015</wp:posOffset>
            </wp:positionV>
            <wp:extent cx="1355090" cy="565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55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1000 Mylan Boulevard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Canonsburg, PA 15317 USA</w:t>
      </w:r>
    </w:p>
    <w:p>
      <w:pPr>
        <w:spacing w:after="0" w:line="9" w:lineRule="exact"/>
        <w:rPr>
          <w:sz w:val="20"/>
          <w:szCs w:val="20"/>
          <w:color w:val="auto"/>
        </w:rPr>
      </w:pPr>
    </w:p>
    <w:p>
      <w:pPr>
        <w:ind w:left="8260"/>
        <w:spacing w:after="0"/>
        <w:tabs>
          <w:tab w:leader="none" w:pos="8860" w:val="left"/>
        </w:tabs>
        <w:rPr>
          <w:sz w:val="20"/>
          <w:szCs w:val="20"/>
          <w:color w:val="auto"/>
        </w:rPr>
      </w:pPr>
      <w:r>
        <w:rPr>
          <w:rFonts w:ascii="Times New Roman" w:cs="Times New Roman" w:eastAsia="Times New Roman" w:hAnsi="Times New Roman"/>
          <w:sz w:val="18"/>
          <w:szCs w:val="18"/>
          <w:color w:val="auto"/>
        </w:rPr>
        <w:t>Phone</w:t>
        <w:tab/>
        <w:t>724.514.1800</w:t>
      </w:r>
    </w:p>
    <w:p>
      <w:pPr>
        <w:spacing w:after="0" w:line="9" w:lineRule="exact"/>
        <w:rPr>
          <w:sz w:val="20"/>
          <w:szCs w:val="20"/>
          <w:color w:val="auto"/>
        </w:rPr>
      </w:pPr>
    </w:p>
    <w:p>
      <w:pPr>
        <w:ind w:left="8260"/>
        <w:spacing w:after="0"/>
        <w:tabs>
          <w:tab w:leader="none" w:pos="8680" w:val="left"/>
        </w:tabs>
        <w:rPr>
          <w:sz w:val="20"/>
          <w:szCs w:val="20"/>
          <w:color w:val="auto"/>
        </w:rPr>
      </w:pPr>
      <w:r>
        <w:rPr>
          <w:rFonts w:ascii="Times New Roman" w:cs="Times New Roman" w:eastAsia="Times New Roman" w:hAnsi="Times New Roman"/>
          <w:sz w:val="18"/>
          <w:szCs w:val="18"/>
          <w:color w:val="auto"/>
        </w:rPr>
        <w:t>Fax</w:t>
        <w:tab/>
        <w:t>724.514.1870</w:t>
      </w:r>
    </w:p>
    <w:p>
      <w:pPr>
        <w:spacing w:after="0" w:line="9" w:lineRule="exact"/>
        <w:rPr>
          <w:sz w:val="20"/>
          <w:szCs w:val="20"/>
          <w:color w:val="auto"/>
        </w:rPr>
      </w:pPr>
    </w:p>
    <w:p>
      <w:pPr>
        <w:ind w:left="8260"/>
        <w:spacing w:after="0"/>
        <w:tabs>
          <w:tab w:leader="none" w:pos="8740" w:val="left"/>
        </w:tabs>
        <w:rPr>
          <w:sz w:val="20"/>
          <w:szCs w:val="20"/>
          <w:color w:val="auto"/>
        </w:rPr>
      </w:pPr>
      <w:r>
        <w:rPr>
          <w:rFonts w:ascii="Times New Roman" w:cs="Times New Roman" w:eastAsia="Times New Roman" w:hAnsi="Times New Roman"/>
          <w:sz w:val="18"/>
          <w:szCs w:val="18"/>
          <w:color w:val="auto"/>
        </w:rPr>
        <w:t>Web</w:t>
        <w:tab/>
        <w:t>mylan.com</w:t>
      </w:r>
    </w:p>
    <w:p>
      <w:pPr>
        <w:spacing w:after="0" w:line="27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One-Time Special Five-Year</w:t>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Performance-Based Realizable Value Incentive Program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w:t>
      </w:r>
    </w:p>
    <w:p>
      <w:pPr>
        <w:spacing w:after="0" w:line="260" w:lineRule="exact"/>
        <w:rPr>
          <w:sz w:val="20"/>
          <w:szCs w:val="20"/>
          <w:color w:val="auto"/>
        </w:rPr>
      </w:pPr>
    </w:p>
    <w:p>
      <w:pPr>
        <w:ind w:right="60" w:firstLine="1297"/>
        <w:spacing w:after="0" w:line="246" w:lineRule="auto"/>
        <w:rPr>
          <w:sz w:val="20"/>
          <w:szCs w:val="20"/>
          <w:color w:val="auto"/>
        </w:rPr>
      </w:pPr>
      <w:r>
        <w:rPr>
          <w:rFonts w:ascii="Times New Roman" w:cs="Times New Roman" w:eastAsia="Times New Roman" w:hAnsi="Times New Roman"/>
          <w:sz w:val="22"/>
          <w:szCs w:val="22"/>
          <w:color w:val="auto"/>
        </w:rPr>
        <w:t>On February 25, 2014, Mylan Inc. (the “Company”) granted you a special award of stock appreciation rights (the “One-Time Performance-Based Award”) under the Company’s 2003 Long Term Incentive Plan (the “Plan”). The One-Time Performance-Based Award provides for the possibility of accelerated vesting upon a Change in Control of the Company (as such term is defined in the Plan). By executing this letter agreement, for good and valuable consideration (including your continued employment and continued participation in the Company’s incentive plans and programs), you acknowledge and agree that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One-Time Performance-Based Award. All other provisions of the One-Time Performance-Based Award, as modified by the foregoing, shall remain in full force and effect notwithstanding this letter agreement.</w:t>
      </w:r>
    </w:p>
    <w:p>
      <w:pPr>
        <w:spacing w:after="0" w:line="37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217170</wp:posOffset>
            </wp:positionV>
            <wp:extent cx="1878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3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22"/>
          <w:szCs w:val="22"/>
          <w:color w:val="auto"/>
        </w:rPr>
        <w:t>Title: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420"/>
          </w:cols>
          <w:pgMar w:left="240" w:top="527" w:right="239" w:bottom="1440" w:gutter="0" w:footer="0" w:header="0"/>
        </w:sectPr>
      </w:pPr>
    </w:p>
    <w:bookmarkStart w:id="584" w:name="page585"/>
    <w:bookmarkEnd w:id="584"/>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374015</wp:posOffset>
            </wp:positionV>
            <wp:extent cx="1355090" cy="565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550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1000 Mylan Bo</w:t>
      </w:r>
      <w:r>
        <w:rPr>
          <w:rFonts w:ascii="Times New Roman" w:cs="Times New Roman" w:eastAsia="Times New Roman" w:hAnsi="Times New Roman"/>
          <w:sz w:val="14"/>
          <w:szCs w:val="14"/>
          <w:color w:val="auto"/>
        </w:rPr>
        <w:t>ulevard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Canonsburg, P</w:t>
      </w:r>
      <w:r>
        <w:rPr>
          <w:rFonts w:ascii="Times New Roman" w:cs="Times New Roman" w:eastAsia="Times New Roman" w:hAnsi="Times New Roman"/>
          <w:sz w:val="14"/>
          <w:szCs w:val="14"/>
          <w:color w:val="auto"/>
        </w:rPr>
        <w:t>A 15317 USA</w:t>
      </w:r>
    </w:p>
    <w:p>
      <w:pPr>
        <w:spacing w:after="0" w:line="9" w:lineRule="exact"/>
        <w:rPr>
          <w:sz w:val="20"/>
          <w:szCs w:val="20"/>
          <w:color w:val="auto"/>
        </w:rPr>
      </w:pPr>
    </w:p>
    <w:p>
      <w:pPr>
        <w:ind w:left="8260"/>
        <w:spacing w:after="0"/>
        <w:tabs>
          <w:tab w:leader="none" w:pos="8860" w:val="left"/>
        </w:tabs>
        <w:rPr>
          <w:sz w:val="20"/>
          <w:szCs w:val="20"/>
          <w:color w:val="auto"/>
        </w:rPr>
      </w:pPr>
      <w:r>
        <w:rPr>
          <w:rFonts w:ascii="Times New Roman" w:cs="Times New Roman" w:eastAsia="Times New Roman" w:hAnsi="Times New Roman"/>
          <w:sz w:val="18"/>
          <w:szCs w:val="18"/>
          <w:color w:val="auto"/>
        </w:rPr>
        <w:t>Phone</w:t>
        <w:tab/>
        <w:t>724.514.1800</w:t>
      </w:r>
    </w:p>
    <w:p>
      <w:pPr>
        <w:spacing w:after="0" w:line="9" w:lineRule="exact"/>
        <w:rPr>
          <w:sz w:val="20"/>
          <w:szCs w:val="20"/>
          <w:color w:val="auto"/>
        </w:rPr>
      </w:pPr>
    </w:p>
    <w:p>
      <w:pPr>
        <w:ind w:left="8260"/>
        <w:spacing w:after="0"/>
        <w:tabs>
          <w:tab w:leader="none" w:pos="8680" w:val="left"/>
        </w:tabs>
        <w:rPr>
          <w:sz w:val="20"/>
          <w:szCs w:val="20"/>
          <w:color w:val="auto"/>
        </w:rPr>
      </w:pPr>
      <w:r>
        <w:rPr>
          <w:rFonts w:ascii="Times New Roman" w:cs="Times New Roman" w:eastAsia="Times New Roman" w:hAnsi="Times New Roman"/>
          <w:sz w:val="18"/>
          <w:szCs w:val="18"/>
          <w:color w:val="auto"/>
        </w:rPr>
        <w:t>Fax</w:t>
        <w:tab/>
        <w:t>724.514.1870</w:t>
      </w:r>
    </w:p>
    <w:p>
      <w:pPr>
        <w:spacing w:after="0" w:line="9" w:lineRule="exact"/>
        <w:rPr>
          <w:sz w:val="20"/>
          <w:szCs w:val="20"/>
          <w:color w:val="auto"/>
        </w:rPr>
      </w:pPr>
    </w:p>
    <w:p>
      <w:pPr>
        <w:ind w:left="8260"/>
        <w:spacing w:after="0"/>
        <w:tabs>
          <w:tab w:leader="none" w:pos="8740" w:val="left"/>
        </w:tabs>
        <w:rPr>
          <w:sz w:val="20"/>
          <w:szCs w:val="20"/>
          <w:color w:val="auto"/>
        </w:rPr>
      </w:pPr>
      <w:r>
        <w:rPr>
          <w:rFonts w:ascii="Times New Roman" w:cs="Times New Roman" w:eastAsia="Times New Roman" w:hAnsi="Times New Roman"/>
          <w:sz w:val="18"/>
          <w:szCs w:val="18"/>
          <w:color w:val="auto"/>
        </w:rPr>
        <w:t>Web</w:t>
        <w:tab/>
        <w:t>mylan.com</w:t>
      </w:r>
    </w:p>
    <w:p>
      <w:pPr>
        <w:spacing w:after="0" w:line="200" w:lineRule="exact"/>
        <w:rPr>
          <w:sz w:val="20"/>
          <w:szCs w:val="20"/>
          <w:color w:val="auto"/>
        </w:rPr>
      </w:pPr>
    </w:p>
    <w:p>
      <w:pPr>
        <w:spacing w:after="0" w:line="29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One-Time Special Five-Year</w:t>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u w:val="single" w:color="auto"/>
          <w:color w:val="auto"/>
        </w:rPr>
        <w:t>Performance-Based Realizable Value Incentive Program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[l]:</w:t>
      </w:r>
    </w:p>
    <w:p>
      <w:pPr>
        <w:spacing w:after="0" w:line="260" w:lineRule="exact"/>
        <w:rPr>
          <w:sz w:val="20"/>
          <w:szCs w:val="20"/>
          <w:color w:val="auto"/>
        </w:rPr>
      </w:pPr>
    </w:p>
    <w:p>
      <w:pPr>
        <w:ind w:right="20" w:firstLine="1297"/>
        <w:spacing w:after="0" w:line="246" w:lineRule="auto"/>
        <w:rPr>
          <w:sz w:val="20"/>
          <w:szCs w:val="20"/>
          <w:color w:val="auto"/>
        </w:rPr>
      </w:pPr>
      <w:r>
        <w:rPr>
          <w:rFonts w:ascii="Times New Roman" w:cs="Times New Roman" w:eastAsia="Times New Roman" w:hAnsi="Times New Roman"/>
          <w:sz w:val="22"/>
          <w:szCs w:val="22"/>
          <w:color w:val="auto"/>
        </w:rPr>
        <w:t>On April 17, 2014, Mylan Inc. (the “Company”) granted you a special award of performance-based restricted stock units (the “One-Time Performance-Based Award”) under the Company’s 2003 Long Term Incentive Plan (the “Plan”). The One-Time Performance-Based Award provides for the possibility of accelerated vesting upon a Change in Control of the Company (as such term is defined in the Plan). By executing this letter agreement, for good and valuable consideration (including your continued employment and continued participation in the Company’s incentive plans and programs), you acknowledge and agree that the transactions consummated pursuant to the Business Transfer Agreement and Plan of Merger, dated as of July 13, 2014, by and among Abbott Laboratories, an Illinois corporation, the Company and the other parties thereto, as such agreement may be amended from time to time, shall not constitute a Change in Control for any purpose of the One-Time Performance-Based Award. All other provisions of the One-Time Performance-Based Award, as modified by the foregoing, shall remain in full force and effect notwithstanding this letter agreement.</w:t>
      </w:r>
    </w:p>
    <w:p>
      <w:pPr>
        <w:spacing w:after="0" w:line="37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217170</wp:posOffset>
            </wp:positionV>
            <wp:extent cx="2101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5"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22"/>
          <w:szCs w:val="22"/>
          <w:color w:val="auto"/>
        </w:rPr>
        <w:t>Title: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420"/>
          </w:cols>
          <w:pgMar w:left="240" w:top="1440" w:right="239" w:bottom="1440" w:gutter="0" w:footer="0" w:header="0"/>
        </w:sectPr>
      </w:pPr>
    </w:p>
    <w:bookmarkStart w:id="585" w:name="page586"/>
    <w:bookmarkEnd w:id="58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Mylan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Computation of Ratios of Earnings to Fixed Charges and Preferred Stock Dividends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for ratios)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 and non-controlling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974.5</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Loss from equity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Fixed charges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Appropriate portion of rentals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fixed charges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 and non-controlling interest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Loss from equity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Fixed charges and preferred stock dividends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Appropriate portion of rentals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dividend requirement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fixed charges and preferred stock dividends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 and preferred stock dividends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7" w:right="239" w:bottom="1440" w:gutter="0" w:footer="0" w:header="0"/>
        </w:sectPr>
      </w:pPr>
    </w:p>
    <w:bookmarkStart w:id="586" w:name="page587"/>
    <w:bookmarkEnd w:id="58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Subsidiaries as of December 31, 2014</w:t>
            </w:r>
          </w:p>
        </w:tc>
        <w:tc>
          <w:tcPr>
            <w:tcW w:w="25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Technologies,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Institutional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International Holdings,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Moon of PA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MLRE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Synerx Pharma,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 Air,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Triumvirate Insurance Company</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Somerset Pharmaceuticals,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Bertek Pharmaceuticals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Especialidades Farmaceutica Ltda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Farmaceutica Participacoes Ltda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Marketing e Distribuicao de Produtos Hospitalares Ltda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 Laboratories (Mauritius)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Mauritius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ULC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QD Pharmaceuticals ULC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Americas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(Holdings) Cyprus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Onco Laboratories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Australia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Australia Holding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Australasia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LHC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Bermuda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Bermuda</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L3 S.C.S.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L4 S.C.S.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1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2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3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6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7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8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Luxembourg 9 S.a r.l.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4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5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6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7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8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(Gibraltar) 9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Gibraltar</w:t>
            </w:r>
          </w:p>
        </w:tc>
      </w:tr>
      <w:tr>
        <w:trPr>
          <w:trHeight w:val="270"/>
        </w:trPr>
        <w:tc>
          <w:tcPr>
            <w:tcW w:w="4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dura GmbH</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bl>
    <w:p>
      <w:pPr>
        <w:sectPr>
          <w:pgSz w:w="11900" w:h="16838" w:orient="portrait"/>
          <w:cols w:equalWidth="0" w:num="1">
            <w:col w:w="11420"/>
          </w:cols>
          <w:pgMar w:left="240" w:top="360" w:right="239" w:bottom="1440" w:gutter="0" w:footer="0" w:header="0"/>
        </w:sectPr>
      </w:pPr>
    </w:p>
    <w:bookmarkStart w:id="587" w:name="page588"/>
    <w:bookmarkEnd w:id="5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0"/>
        </w:trPr>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9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Generics France Holding S.A.S.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EMEA S.A.S.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FCT</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Lda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Laboratorios Anova - Produtos Famaceuticos, LDA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Societe de Participation Pharmaceutique S.A.S.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FZ-LLC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Generics [U.K.]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 UK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Investment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UK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McDermott Laboratories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Investments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 Holdings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 Group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 (Canada)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Institutional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 Acquisition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Teoranta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Ireland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Ireland Holdings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Moon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Arcana Arzneimittel GmbH</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Qualimed S.A.S.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S.A.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Morocco</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Generics Pharma Hellas E.P.E.</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Greece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GmbH</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Holdings GmbH</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BVBA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Group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Xixia Pharmaceuticals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SCP Pharmaceuticals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(Proprietary)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S.L.</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Scandinavian Pharmaceuticals-Generics AB</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Scandpharm Marketing AB</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OY</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AB</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ApS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Hospital AS</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Genpharm General Partner,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bl>
    <w:p>
      <w:pPr>
        <w:sectPr>
          <w:pgSz w:w="11900" w:h="16838" w:orient="portrait"/>
          <w:cols w:equalWidth="0" w:num="1">
            <w:col w:w="10179"/>
          </w:cols>
          <w:pgMar w:left="280" w:top="675" w:right="1440" w:bottom="1440" w:gutter="0" w:footer="0" w:header="0"/>
        </w:sectPr>
      </w:pPr>
    </w:p>
    <w:bookmarkStart w:id="588" w:name="page589"/>
    <w:bookmarkEnd w:id="5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0"/>
        </w:trPr>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9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Genpharm Limited Partner,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Private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Laboratories India Private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Seiyaku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Alphapharm Pty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New Zealand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Canton Fuels Company,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Chouteau Fuels Company,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Deogun Manufacturing Company,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EMD,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Dey,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Dey Limited Partner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Marquis Industrial Company,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Specialty L.P.</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II,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III,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IV,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V,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Special Investments VI,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Securitization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Investment Holdings 4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Investment Holdings 5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Investment Holdings 6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Moon Holdings,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Mylan Delaware Financing,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Powder Street,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Sp. Z.o.o.</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Polska sp. Zo.o</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s.r.o.</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d.o.o.</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Slovenia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Pharmaceuticals s.r.o.</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Kft.</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Hungary Kft.</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Laboratories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Matrix Laboratories BVBA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Global Pte.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Laboratories,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Mylan (Taiwan)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Astrix Laboratories Ltd.</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Docpharma BVBA</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Aktuapharma NV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Apothecon B.V.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Hospithera NV</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Agila Specialties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r>
    </w:tbl>
    <w:p>
      <w:pPr>
        <w:sectPr>
          <w:pgSz w:w="11900" w:h="16838" w:orient="portrait"/>
          <w:cols w:equalWidth="0" w:num="1">
            <w:col w:w="10179"/>
          </w:cols>
          <w:pgMar w:left="280" w:top="675" w:right="1440" w:bottom="1440" w:gutter="0" w:footer="0" w:header="0"/>
        </w:sectPr>
      </w:pPr>
    </w:p>
    <w:bookmarkStart w:id="589" w:name="page590"/>
    <w:bookmarkEnd w:id="5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20"/>
        </w:trPr>
        <w:tc>
          <w:tcPr>
            <w:tcW w:w="4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9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Sagent Agila LLC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Wyoming</w:t>
            </w:r>
          </w:p>
        </w:tc>
      </w:tr>
    </w:tbl>
    <w:p>
      <w:pPr>
        <w:sectPr>
          <w:pgSz w:w="11900" w:h="16838" w:orient="portrait"/>
          <w:cols w:equalWidth="0" w:num="1">
            <w:col w:w="10179"/>
          </w:cols>
          <w:pgMar w:left="280" w:top="675" w:right="1440" w:bottom="1440" w:gutter="0" w:footer="0" w:header="0"/>
        </w:sectPr>
      </w:pPr>
    </w:p>
    <w:bookmarkStart w:id="590" w:name="page591"/>
    <w:bookmarkEnd w:id="59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333-202348 on Form S-8, and Registration Statement No. 333-202345 on Form S-3, of our reports dated March 2, 2015, relating to the consolidated financial statements and consolidated financial statement schedule of Mylan Inc. and subsidiaries (the “Company”) and the effectiveness of the Company’s internal control over financial reporting, appearing in this Annual Report on Form 10-K of Mylan Inc. for the year ended December 31, 2014.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576" w:right="239" w:bottom="1440" w:gutter="0" w:footer="0" w:header="0"/>
        </w:sectPr>
      </w:pPr>
    </w:p>
    <w:bookmarkStart w:id="591" w:name="page592"/>
    <w:bookmarkEnd w:id="5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Heather Bresch, certify that:</w:t>
      </w:r>
    </w:p>
    <w:p>
      <w:pPr>
        <w:spacing w:after="0" w:line="117" w:lineRule="exact"/>
        <w:rPr>
          <w:sz w:val="20"/>
          <w:szCs w:val="20"/>
          <w:color w:val="auto"/>
        </w:rPr>
      </w:pPr>
    </w:p>
    <w:p>
      <w:pPr>
        <w:ind w:left="960" w:hanging="304"/>
        <w:spacing w:after="0"/>
        <w:tabs>
          <w:tab w:leader="none" w:pos="96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Mylan Inc.;</w:t>
      </w:r>
    </w:p>
    <w:p>
      <w:pPr>
        <w:spacing w:after="0" w:line="130"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656"/>
        <w:spacing w:after="0" w:line="313" w:lineRule="auto"/>
        <w:tabs>
          <w:tab w:leader="none" w:pos="94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77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78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660" w:right="20" w:firstLine="645"/>
        <w:spacing w:after="0" w:line="329" w:lineRule="auto"/>
        <w:tabs>
          <w:tab w:leader="none" w:pos="177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78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645"/>
        <w:spacing w:after="0" w:line="329" w:lineRule="auto"/>
        <w:tabs>
          <w:tab w:leader="none" w:pos="177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firstLine="645"/>
        <w:spacing w:after="0" w:line="329" w:lineRule="auto"/>
        <w:tabs>
          <w:tab w:leader="none" w:pos="1782"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01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11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Bresch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ectPr>
          <w:pgSz w:w="11900" w:h="16838" w:orient="portrait"/>
          <w:cols w:equalWidth="0" w:num="1">
            <w:col w:w="11420"/>
          </w:cols>
          <w:pgMar w:left="240" w:top="576" w:right="239" w:bottom="1440" w:gutter="0" w:footer="0" w:header="0"/>
        </w:sectPr>
      </w:pPr>
    </w:p>
    <w:bookmarkStart w:id="592" w:name="page593"/>
    <w:bookmarkEnd w:id="5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 Sheehan, certify that:</w:t>
      </w:r>
    </w:p>
    <w:p>
      <w:pPr>
        <w:spacing w:after="0" w:line="117" w:lineRule="exact"/>
        <w:rPr>
          <w:sz w:val="20"/>
          <w:szCs w:val="20"/>
          <w:color w:val="auto"/>
        </w:rPr>
      </w:pPr>
    </w:p>
    <w:p>
      <w:pPr>
        <w:ind w:left="960" w:hanging="304"/>
        <w:spacing w:after="0"/>
        <w:tabs>
          <w:tab w:leader="none" w:pos="96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Mylan Inc.;</w:t>
      </w:r>
    </w:p>
    <w:p>
      <w:pPr>
        <w:spacing w:after="0" w:line="130"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656"/>
        <w:spacing w:after="0" w:line="313" w:lineRule="auto"/>
        <w:tabs>
          <w:tab w:leader="none" w:pos="94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61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62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660" w:firstLine="645"/>
        <w:spacing w:after="0" w:line="329" w:lineRule="auto"/>
        <w:tabs>
          <w:tab w:leader="none" w:pos="161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162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firstLine="656"/>
        <w:spacing w:after="0" w:line="329" w:lineRule="auto"/>
        <w:tabs>
          <w:tab w:leader="none" w:pos="94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firstLine="645"/>
        <w:spacing w:after="0" w:line="329" w:lineRule="auto"/>
        <w:tabs>
          <w:tab w:leader="none" w:pos="161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firstLine="645"/>
        <w:spacing w:after="0" w:line="329" w:lineRule="auto"/>
        <w:tabs>
          <w:tab w:leader="none" w:pos="1620"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D.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368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68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Sheehan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ectPr>
          <w:pgSz w:w="11900" w:h="16838" w:orient="portrait"/>
          <w:cols w:equalWidth="0" w:num="1">
            <w:col w:w="11420"/>
          </w:cols>
          <w:pgMar w:left="240" w:top="577" w:right="239" w:bottom="1440" w:gutter="0" w:footer="0" w:header="0"/>
        </w:sectPr>
      </w:pPr>
    </w:p>
    <w:bookmarkStart w:id="593" w:name="page594"/>
    <w:bookmarkEnd w:id="59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Form 10-K of Mylan Inc. (the “Company”) for the year ended December 31, 2014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68" w:lineRule="exact"/>
        <w:rPr>
          <w:sz w:val="20"/>
          <w:szCs w:val="20"/>
          <w:color w:val="auto"/>
        </w:rPr>
      </w:pPr>
    </w:p>
    <w:p>
      <w:pPr>
        <w:ind w:left="1440" w:hanging="460"/>
        <w:spacing w:after="0"/>
        <w:tabs>
          <w:tab w:leader="none" w:pos="144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2015</w:t>
      </w:r>
    </w:p>
    <w:p>
      <w:pPr>
        <w:spacing w:after="0" w:line="17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Heather Bresch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D.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D. Sheehan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FCDE5E"/>
    <w:multiLevelType w:val="hybridMultilevel"/>
    <w:lvl w:ilvl="0">
      <w:lvlJc w:val="left"/>
      <w:lvlText w:val="☑"/>
      <w:numFmt w:val="bullet"/>
      <w:start w:val="1"/>
    </w:lvl>
  </w:abstractNum>
  <w:abstractNum w:abstractNumId="1">
    <w:nsid w:val="4A1D606E"/>
    <w:multiLevelType w:val="hybridMultilevel"/>
    <w:lvl w:ilvl="0">
      <w:lvlJc w:val="left"/>
      <w:lvlText w:val="☐"/>
      <w:numFmt w:val="bullet"/>
      <w:start w:val="1"/>
    </w:lvl>
  </w:abstractNum>
  <w:abstractNum w:abstractNumId="2">
    <w:nsid w:val="4382503"/>
    <w:multiLevelType w:val="hybridMultilevel"/>
    <w:lvl w:ilvl="0">
      <w:lvlJc w:val="left"/>
      <w:lvlText w:val="•"/>
      <w:numFmt w:val="bullet"/>
      <w:start w:val="1"/>
    </w:lvl>
  </w:abstractNum>
  <w:abstractNum w:abstractNumId="3">
    <w:nsid w:val="59B76E28"/>
    <w:multiLevelType w:val="hybridMultilevel"/>
    <w:lvl w:ilvl="0">
      <w:lvlJc w:val="left"/>
      <w:lvlText w:val="•"/>
      <w:numFmt w:val="bullet"/>
      <w:start w:val="1"/>
    </w:lvl>
  </w:abstractNum>
  <w:abstractNum w:abstractNumId="4">
    <w:nsid w:val="4252C2DA"/>
    <w:multiLevelType w:val="hybridMultilevel"/>
    <w:lvl w:ilvl="0">
      <w:lvlJc w:val="left"/>
      <w:lvlText w:val="•"/>
      <w:numFmt w:val="bullet"/>
      <w:start w:val="1"/>
    </w:lvl>
  </w:abstractNum>
  <w:abstractNum w:abstractNumId="5">
    <w:nsid w:val="6A92EF4C"/>
    <w:multiLevelType w:val="hybridMultilevel"/>
    <w:lvl w:ilvl="0">
      <w:lvlJc w:val="left"/>
      <w:lvlText w:val="•"/>
      <w:numFmt w:val="bullet"/>
      <w:start w:val="1"/>
    </w:lvl>
  </w:abstractNum>
  <w:abstractNum w:abstractNumId="6">
    <w:nsid w:val="41ED20D7"/>
    <w:multiLevelType w:val="hybridMultilevel"/>
    <w:lvl w:ilvl="0">
      <w:lvlJc w:val="left"/>
      <w:lvlText w:val="•"/>
      <w:numFmt w:val="bullet"/>
      <w:start w:val="1"/>
    </w:lvl>
  </w:abstractNum>
  <w:abstractNum w:abstractNumId="7">
    <w:nsid w:val="E6B3F6A"/>
    <w:multiLevelType w:val="hybridMultilevel"/>
    <w:lvl w:ilvl="0">
      <w:lvlJc w:val="left"/>
      <w:lvlText w:val="•"/>
      <w:numFmt w:val="bullet"/>
      <w:start w:val="1"/>
    </w:lvl>
  </w:abstractNum>
  <w:abstractNum w:abstractNumId="8">
    <w:nsid w:val="3EB21819"/>
    <w:multiLevelType w:val="hybridMultilevel"/>
    <w:lvl w:ilvl="0">
      <w:lvlJc w:val="left"/>
      <w:lvlText w:val="•"/>
      <w:numFmt w:val="bullet"/>
      <w:start w:val="1"/>
    </w:lvl>
  </w:abstractNum>
  <w:abstractNum w:abstractNumId="9">
    <w:nsid w:val="41531DED"/>
    <w:multiLevelType w:val="hybridMultilevel"/>
    <w:lvl w:ilvl="0">
      <w:lvlJc w:val="left"/>
      <w:lvlText w:val="•"/>
      <w:numFmt w:val="bullet"/>
      <w:start w:val="1"/>
    </w:lvl>
  </w:abstractNum>
  <w:abstractNum w:abstractNumId="10">
    <w:nsid w:val="6353CD2"/>
    <w:multiLevelType w:val="hybridMultilevel"/>
    <w:lvl w:ilvl="0">
      <w:lvlJc w:val="left"/>
      <w:lvlText w:val="•"/>
      <w:numFmt w:val="bullet"/>
      <w:start w:val="1"/>
    </w:lvl>
  </w:abstractNum>
  <w:abstractNum w:abstractNumId="11">
    <w:nsid w:val="683CAAD3"/>
    <w:multiLevelType w:val="hybridMultilevel"/>
    <w:lvl w:ilvl="0">
      <w:lvlJc w:val="left"/>
      <w:lvlText w:val="•"/>
      <w:numFmt w:val="bullet"/>
      <w:start w:val="1"/>
    </w:lvl>
  </w:abstractNum>
  <w:abstractNum w:abstractNumId="12">
    <w:nsid w:val="313C7C99"/>
    <w:multiLevelType w:val="hybridMultilevel"/>
    <w:lvl w:ilvl="0">
      <w:lvlJc w:val="left"/>
      <w:lvlText w:val="•"/>
      <w:numFmt w:val="bullet"/>
      <w:start w:val="1"/>
    </w:lvl>
  </w:abstractNum>
  <w:abstractNum w:abstractNumId="13">
    <w:nsid w:val="519EB94C"/>
    <w:multiLevelType w:val="hybridMultilevel"/>
    <w:lvl w:ilvl="0">
      <w:lvlJc w:val="left"/>
      <w:lvlText w:val="•"/>
      <w:numFmt w:val="bullet"/>
      <w:start w:val="1"/>
    </w:lvl>
  </w:abstractNum>
  <w:abstractNum w:abstractNumId="14">
    <w:nsid w:val="39DF2579"/>
    <w:multiLevelType w:val="hybridMultilevel"/>
    <w:lvl w:ilvl="0">
      <w:lvlJc w:val="left"/>
      <w:lvlText w:val="•"/>
      <w:numFmt w:val="bullet"/>
      <w:start w:val="1"/>
    </w:lvl>
  </w:abstractNum>
  <w:abstractNum w:abstractNumId="15">
    <w:nsid w:val="126E008B"/>
    <w:multiLevelType w:val="hybridMultilevel"/>
    <w:lvl w:ilvl="0">
      <w:lvlJc w:val="left"/>
      <w:lvlText w:val="•"/>
      <w:numFmt w:val="bullet"/>
      <w:start w:val="1"/>
    </w:lvl>
  </w:abstractNum>
  <w:abstractNum w:abstractNumId="16">
    <w:nsid w:val="34DFBC00"/>
    <w:multiLevelType w:val="hybridMultilevel"/>
    <w:lvl w:ilvl="0">
      <w:lvlJc w:val="left"/>
      <w:lvlText w:val="(%1)"/>
      <w:numFmt w:val="decimal"/>
      <w:start w:val="1"/>
    </w:lvl>
  </w:abstractNum>
  <w:abstractNum w:abstractNumId="17">
    <w:nsid w:val="1F9EC322"/>
    <w:multiLevelType w:val="hybridMultilevel"/>
    <w:lvl w:ilvl="0">
      <w:lvlJc w:val="left"/>
      <w:lvlText w:val="(%1)"/>
      <w:numFmt w:val="decimal"/>
      <w:start w:val="3"/>
    </w:lvl>
  </w:abstractNum>
  <w:abstractNum w:abstractNumId="18">
    <w:nsid w:val="3410ED56"/>
    <w:multiLevelType w:val="hybridMultilevel"/>
    <w:lvl w:ilvl="0">
      <w:lvlJc w:val="left"/>
      <w:lvlText w:val="(%1)"/>
      <w:numFmt w:val="lowerLetter"/>
      <w:start w:val="1"/>
    </w:lvl>
  </w:abstractNum>
  <w:abstractNum w:abstractNumId="19">
    <w:nsid w:val="23C049A"/>
    <w:multiLevelType w:val="hybridMultilevel"/>
    <w:lvl w:ilvl="0">
      <w:lvlJc w:val="left"/>
      <w:lvlText w:val="•"/>
      <w:numFmt w:val="bullet"/>
      <w:start w:val="1"/>
    </w:lvl>
  </w:abstractNum>
  <w:abstractNum w:abstractNumId="20">
    <w:nsid w:val="5BDA35D4"/>
    <w:multiLevelType w:val="hybridMultilevel"/>
    <w:lvl w:ilvl="0">
      <w:lvlJc w:val="left"/>
      <w:lvlText w:val="•"/>
      <w:numFmt w:val="bullet"/>
      <w:start w:val="1"/>
    </w:lvl>
  </w:abstractNum>
  <w:abstractNum w:abstractNumId="21">
    <w:nsid w:val="496FB218"/>
    <w:multiLevelType w:val="hybridMultilevel"/>
    <w:lvl w:ilvl="0">
      <w:lvlJc w:val="left"/>
      <w:lvlText w:val="(%1)"/>
      <w:numFmt w:val="lowerLetter"/>
      <w:start w:val="1"/>
    </w:lvl>
  </w:abstractNum>
  <w:abstractNum w:abstractNumId="22">
    <w:nsid w:val="680EA5D1"/>
    <w:multiLevelType w:val="hybridMultilevel"/>
    <w:lvl w:ilvl="0">
      <w:lvlJc w:val="left"/>
      <w:lvlText w:val="•"/>
      <w:numFmt w:val="bullet"/>
      <w:start w:val="1"/>
    </w:lvl>
  </w:abstractNum>
  <w:abstractNum w:abstractNumId="23">
    <w:nsid w:val="4A9554FE"/>
    <w:multiLevelType w:val="hybridMultilevel"/>
    <w:lvl w:ilvl="0">
      <w:lvlJc w:val="left"/>
      <w:lvlText w:val="•"/>
      <w:numFmt w:val="bullet"/>
      <w:start w:val="1"/>
    </w:lvl>
  </w:abstractNum>
  <w:abstractNum w:abstractNumId="24">
    <w:nsid w:val="392EDBE4"/>
    <w:multiLevelType w:val="hybridMultilevel"/>
    <w:lvl w:ilvl="0">
      <w:lvlJc w:val="left"/>
      <w:lvlText w:val="•"/>
      <w:numFmt w:val="bullet"/>
      <w:start w:val="1"/>
    </w:lvl>
  </w:abstractNum>
  <w:abstractNum w:abstractNumId="25">
    <w:nsid w:val="3D1A2DD9"/>
    <w:multiLevelType w:val="hybridMultilevel"/>
    <w:lvl w:ilvl="0">
      <w:lvlJc w:val="left"/>
      <w:lvlText w:val="•"/>
      <w:numFmt w:val="bullet"/>
      <w:start w:val="1"/>
    </w:lvl>
  </w:abstractNum>
  <w:abstractNum w:abstractNumId="26">
    <w:nsid w:val="7F618FCD"/>
    <w:multiLevelType w:val="hybridMultilevel"/>
    <w:lvl w:ilvl="0">
      <w:lvlJc w:val="left"/>
      <w:lvlText w:val="(%1)"/>
      <w:numFmt w:val="decimal"/>
      <w:start w:val="1"/>
    </w:lvl>
  </w:abstractNum>
  <w:abstractNum w:abstractNumId="27">
    <w:nsid w:val="7843E45"/>
    <w:multiLevelType w:val="hybridMultilevel"/>
    <w:lvl w:ilvl="0">
      <w:lvlJc w:val="left"/>
      <w:lvlText w:val="•"/>
      <w:numFmt w:val="bullet"/>
      <w:start w:val="1"/>
    </w:lvl>
  </w:abstractNum>
  <w:abstractNum w:abstractNumId="28">
    <w:nsid w:val="9815DA3"/>
    <w:multiLevelType w:val="hybridMultilevel"/>
    <w:lvl w:ilvl="0">
      <w:lvlJc w:val="left"/>
      <w:lvlText w:val="%1."/>
      <w:numFmt w:val="decimal"/>
      <w:start w:val="1"/>
    </w:lvl>
  </w:abstractNum>
  <w:abstractNum w:abstractNumId="29">
    <w:nsid w:val="5204A191"/>
    <w:multiLevelType w:val="hybridMultilevel"/>
    <w:lvl w:ilvl="0">
      <w:lvlJc w:val="left"/>
      <w:lvlText w:val="%1."/>
      <w:numFmt w:val="decimal"/>
      <w:start w:val="2"/>
    </w:lvl>
  </w:abstractNum>
  <w:abstractNum w:abstractNumId="30">
    <w:nsid w:val="4C73A9C6"/>
    <w:multiLevelType w:val="hybridMultilevel"/>
    <w:lvl w:ilvl="0">
      <w:lvlJc w:val="left"/>
      <w:lvlText w:val="%1."/>
      <w:numFmt w:val="decimal"/>
      <w:start w:val="3"/>
    </w:lvl>
  </w:abstractNum>
  <w:abstractNum w:abstractNumId="31">
    <w:nsid w:val="1C7E3C01"/>
    <w:multiLevelType w:val="hybridMultilevel"/>
    <w:lvl w:ilvl="0">
      <w:lvlJc w:val="left"/>
      <w:lvlText w:val="%1."/>
      <w:numFmt w:val="decimal"/>
      <w:start w:val="4"/>
    </w:lvl>
  </w:abstractNum>
  <w:abstractNum w:abstractNumId="32">
    <w:nsid w:val="1C2201FF"/>
    <w:multiLevelType w:val="hybridMultilevel"/>
    <w:lvl w:ilvl="0">
      <w:lvlJc w:val="left"/>
      <w:lvlText w:val="%1."/>
      <w:numFmt w:val="decimal"/>
      <w:start w:val="5"/>
    </w:lvl>
  </w:abstractNum>
  <w:abstractNum w:abstractNumId="33">
    <w:nsid w:val="50ABCEC9"/>
    <w:multiLevelType w:val="hybridMultilevel"/>
    <w:lvl w:ilvl="0">
      <w:lvlJc w:val="left"/>
      <w:lvlText w:val="(%1)"/>
      <w:numFmt w:val="decimal"/>
      <w:start w:val="1"/>
    </w:lvl>
  </w:abstractNum>
  <w:abstractNum w:abstractNumId="34">
    <w:nsid w:val="7635AA2A"/>
    <w:multiLevelType w:val="hybridMultilevel"/>
    <w:lvl w:ilvl="0">
      <w:lvlJc w:val="left"/>
      <w:lvlText w:val="(%1)"/>
      <w:numFmt w:val="decimal"/>
      <w:start w:val="1"/>
    </w:lvl>
  </w:abstractNum>
  <w:abstractNum w:abstractNumId="35">
    <w:nsid w:val="5E74C4D9"/>
    <w:multiLevelType w:val="hybridMultilevel"/>
    <w:lvl w:ilvl="0">
      <w:lvlJc w:val="left"/>
      <w:lvlText w:val="(%1)"/>
      <w:numFmt w:val="decimal"/>
      <w:start w:val="1"/>
    </w:lvl>
  </w:abstractNum>
  <w:abstractNum w:abstractNumId="36">
    <w:nsid w:val="3B3EBE15"/>
    <w:multiLevelType w:val="hybridMultilevel"/>
    <w:lvl w:ilvl="0">
      <w:lvlJc w:val="left"/>
      <w:lvlText w:val="%1."/>
      <w:numFmt w:val="decimal"/>
      <w:start w:val="6"/>
    </w:lvl>
  </w:abstractNum>
  <w:abstractNum w:abstractNumId="37">
    <w:nsid w:val="3822CB01"/>
    <w:multiLevelType w:val="hybridMultilevel"/>
    <w:lvl w:ilvl="0">
      <w:lvlJc w:val="left"/>
      <w:lvlText w:val="•"/>
      <w:numFmt w:val="bullet"/>
      <w:start w:val="1"/>
    </w:lvl>
  </w:abstractNum>
  <w:abstractNum w:abstractNumId="38">
    <w:nsid w:val="6CE00443"/>
    <w:multiLevelType w:val="hybridMultilevel"/>
    <w:lvl w:ilvl="0">
      <w:lvlJc w:val="left"/>
      <w:lvlText w:val="•"/>
      <w:numFmt w:val="bullet"/>
      <w:start w:val="1"/>
    </w:lvl>
  </w:abstractNum>
  <w:abstractNum w:abstractNumId="39">
    <w:nsid w:val="79F0D62F"/>
    <w:multiLevelType w:val="hybridMultilevel"/>
    <w:lvl w:ilvl="0">
      <w:lvlJc w:val="left"/>
      <w:lvlText w:val="%1."/>
      <w:numFmt w:val="decimal"/>
      <w:start w:val="7"/>
    </w:lvl>
  </w:abstractNum>
  <w:abstractNum w:abstractNumId="40">
    <w:nsid w:val="7975E8EE"/>
    <w:multiLevelType w:val="hybridMultilevel"/>
    <w:lvl w:ilvl="0">
      <w:lvlJc w:val="left"/>
      <w:lvlText w:val="(%1)"/>
      <w:numFmt w:val="lowerLetter"/>
      <w:start w:val="1"/>
    </w:lvl>
  </w:abstractNum>
  <w:abstractNum w:abstractNumId="41">
    <w:nsid w:val="73154115"/>
    <w:multiLevelType w:val="hybridMultilevel"/>
    <w:lvl w:ilvl="0">
      <w:lvlJc w:val="left"/>
      <w:lvlText w:val="(%1)"/>
      <w:numFmt w:val="lowerLetter"/>
      <w:start w:val="2"/>
    </w:lvl>
  </w:abstractNum>
  <w:abstractNum w:abstractNumId="42">
    <w:nsid w:val="622D8102"/>
    <w:multiLevelType w:val="hybridMultilevel"/>
    <w:lvl w:ilvl="0">
      <w:lvlJc w:val="left"/>
      <w:lvlText w:val="(%1)"/>
      <w:numFmt w:val="lowerLetter"/>
      <w:start w:val="1"/>
    </w:lvl>
  </w:abstractNum>
  <w:abstractNum w:abstractNumId="43">
    <w:nsid w:val="2AB26587"/>
    <w:multiLevelType w:val="hybridMultilevel"/>
    <w:lvl w:ilvl="0">
      <w:lvlJc w:val="left"/>
      <w:lvlText w:val="%1."/>
      <w:numFmt w:val="decimal"/>
      <w:start w:val="8"/>
    </w:lvl>
  </w:abstractNum>
  <w:abstractNum w:abstractNumId="44">
    <w:nsid w:val="44B3FA61"/>
    <w:multiLevelType w:val="hybridMultilevel"/>
    <w:lvl w:ilvl="0">
      <w:lvlJc w:val="left"/>
      <w:lvlText w:val="%1."/>
      <w:numFmt w:val="decimal"/>
      <w:start w:val="9"/>
    </w:lvl>
  </w:abstractNum>
  <w:abstractNum w:abstractNumId="45">
    <w:nsid w:val="1C0CA67C"/>
    <w:multiLevelType w:val="hybridMultilevel"/>
    <w:lvl w:ilvl="0">
      <w:lvlJc w:val="left"/>
      <w:lvlText w:val="$"/>
      <w:numFmt w:val="bullet"/>
      <w:start w:val="1"/>
    </w:lvl>
  </w:abstractNum>
  <w:abstractNum w:abstractNumId="46">
    <w:nsid w:val="3D206613"/>
    <w:multiLevelType w:val="hybridMultilevel"/>
    <w:lvl w:ilvl="0">
      <w:lvlJc w:val="left"/>
      <w:lvlText w:val="$"/>
      <w:numFmt w:val="bullet"/>
      <w:start w:val="1"/>
    </w:lvl>
  </w:abstractNum>
  <w:abstractNum w:abstractNumId="47">
    <w:nsid w:val="7993B662"/>
    <w:multiLevelType w:val="hybridMultilevel"/>
    <w:lvl w:ilvl="0">
      <w:lvlJc w:val="left"/>
      <w:lvlText w:val="$"/>
      <w:numFmt w:val="bullet"/>
      <w:start w:val="1"/>
    </w:lvl>
  </w:abstractNum>
  <w:abstractNum w:abstractNumId="48">
    <w:nsid w:val="3BAB699E"/>
    <w:multiLevelType w:val="hybridMultilevel"/>
    <w:lvl w:ilvl="0">
      <w:lvlJc w:val="left"/>
      <w:lvlText w:val="$"/>
      <w:numFmt w:val="bullet"/>
      <w:start w:val="1"/>
    </w:lvl>
  </w:abstractNum>
  <w:abstractNum w:abstractNumId="49">
    <w:nsid w:val="71315369"/>
    <w:multiLevelType w:val="hybridMultilevel"/>
    <w:lvl w:ilvl="0">
      <w:lvlJc w:val="left"/>
      <w:lvlText w:val="$"/>
      <w:numFmt w:val="bullet"/>
      <w:start w:val="1"/>
    </w:lvl>
  </w:abstractNum>
  <w:abstractNum w:abstractNumId="50">
    <w:nsid w:val="7BCFBAFC"/>
    <w:multiLevelType w:val="hybridMultilevel"/>
    <w:lvl w:ilvl="0">
      <w:lvlJc w:val="left"/>
      <w:lvlText w:val="$"/>
      <w:numFmt w:val="bullet"/>
      <w:start w:val="1"/>
    </w:lvl>
  </w:abstractNum>
  <w:abstractNum w:abstractNumId="51">
    <w:nsid w:val="17859F72"/>
    <w:multiLevelType w:val="hybridMultilevel"/>
    <w:lvl w:ilvl="0">
      <w:lvlJc w:val="left"/>
      <w:lvlText w:val="(%1)"/>
      <w:numFmt w:val="decimal"/>
      <w:start w:val="1"/>
    </w:lvl>
  </w:abstractNum>
  <w:abstractNum w:abstractNumId="52">
    <w:nsid w:val="3AA10581"/>
    <w:multiLevelType w:val="hybridMultilevel"/>
    <w:lvl w:ilvl="0">
      <w:lvlJc w:val="left"/>
      <w:lvlText w:val="(%1)"/>
      <w:numFmt w:val="decimal"/>
      <w:start w:val="1"/>
    </w:lvl>
  </w:abstractNum>
  <w:abstractNum w:abstractNumId="53">
    <w:nsid w:val="63DE60CD"/>
    <w:multiLevelType w:val="hybridMultilevel"/>
    <w:lvl w:ilvl="0">
      <w:lvlJc w:val="left"/>
      <w:lvlText w:val="(%1)"/>
      <w:numFmt w:val="decimal"/>
      <w:start w:val="1"/>
    </w:lvl>
  </w:abstractNum>
  <w:abstractNum w:abstractNumId="54">
    <w:nsid w:val="621AF471"/>
    <w:multiLevelType w:val="hybridMultilevel"/>
    <w:lvl w:ilvl="0">
      <w:lvlJc w:val="left"/>
      <w:lvlText w:val="(%1)"/>
      <w:numFmt w:val="decimal"/>
      <w:start w:val="1"/>
    </w:lvl>
  </w:abstractNum>
  <w:abstractNum w:abstractNumId="55">
    <w:nsid w:val="73CFE165"/>
    <w:multiLevelType w:val="hybridMultilevel"/>
    <w:lvl w:ilvl="0">
      <w:lvlJc w:val="left"/>
      <w:lvlText w:val="%1."/>
      <w:numFmt w:val="decimal"/>
      <w:start w:val="14"/>
    </w:lvl>
  </w:abstractNum>
  <w:abstractNum w:abstractNumId="56">
    <w:nsid w:val="20F88EA6"/>
    <w:multiLevelType w:val="hybridMultilevel"/>
    <w:lvl w:ilvl="0">
      <w:lvlJc w:val="left"/>
      <w:lvlText w:val="(%1)"/>
      <w:numFmt w:val="decimal"/>
      <w:start w:val="1"/>
    </w:lvl>
  </w:abstractNum>
  <w:abstractNum w:abstractNumId="57">
    <w:nsid w:val="617C843E"/>
    <w:multiLevelType w:val="hybridMultilevel"/>
    <w:lvl w:ilvl="0">
      <w:lvlJc w:val="left"/>
      <w:lvlText w:val="%1."/>
      <w:numFmt w:val="decimal"/>
      <w:start w:val="1"/>
    </w:lvl>
  </w:abstractNum>
  <w:abstractNum w:abstractNumId="58">
    <w:nsid w:val="7B541FAB"/>
    <w:multiLevelType w:val="hybridMultilevel"/>
    <w:lvl w:ilvl="0">
      <w:lvlJc w:val="left"/>
      <w:lvlText w:val="%1."/>
      <w:numFmt w:val="decimal"/>
      <w:start w:val="2"/>
    </w:lvl>
  </w:abstractNum>
  <w:abstractNum w:abstractNumId="59">
    <w:nsid w:val="2A79EC49"/>
    <w:multiLevelType w:val="hybridMultilevel"/>
    <w:lvl w:ilvl="0">
      <w:lvlJc w:val="left"/>
      <w:lvlText w:val="%1."/>
      <w:numFmt w:val="decimal"/>
      <w:start w:val="3"/>
    </w:lvl>
  </w:abstractNum>
  <w:abstractNum w:abstractNumId="60">
    <w:nsid w:val="338125CF"/>
    <w:multiLevelType w:val="hybridMultilevel"/>
    <w:lvl w:ilvl="0">
      <w:lvlJc w:val="left"/>
      <w:lvlText w:val="&amp;"/>
      <w:numFmt w:val="bullet"/>
      <w:start w:val="1"/>
    </w:lvl>
  </w:abstractNum>
  <w:abstractNum w:abstractNumId="61">
    <w:nsid w:val="47C7C971"/>
    <w:multiLevelType w:val="hybridMultilevel"/>
    <w:lvl w:ilvl="0">
      <w:lvlJc w:val="left"/>
      <w:lvlText w:val="*"/>
      <w:numFmt w:val="bullet"/>
      <w:start w:val="1"/>
    </w:lvl>
  </w:abstractNum>
  <w:abstractNum w:abstractNumId="62">
    <w:nsid w:val="46F8284B"/>
    <w:multiLevelType w:val="hybridMultilevel"/>
    <w:lvl w:ilvl="0">
      <w:lvlJc w:val="left"/>
      <w:lvlText w:val="†"/>
      <w:numFmt w:val="bullet"/>
      <w:start w:val="1"/>
    </w:lvl>
  </w:abstractNum>
  <w:abstractNum w:abstractNumId="63">
    <w:nsid w:val="4FA327CE"/>
    <w:multiLevelType w:val="hybridMultilevel"/>
    <w:lvl w:ilvl="0">
      <w:lvlJc w:val="left"/>
      <w:lvlText w:val="^"/>
      <w:numFmt w:val="bullet"/>
      <w:start w:val="1"/>
    </w:lvl>
  </w:abstractNum>
  <w:abstractNum w:abstractNumId="64">
    <w:nsid w:val="1873983A"/>
    <w:multiLevelType w:val="hybridMultilevel"/>
    <w:lvl w:ilvl="0">
      <w:lvlJc w:val="left"/>
      <w:lvlText w:val="*"/>
      <w:numFmt w:val="bullet"/>
      <w:start w:val="1"/>
    </w:lvl>
  </w:abstractNum>
  <w:abstractNum w:abstractNumId="65">
    <w:nsid w:val="3D2DD275"/>
    <w:multiLevelType w:val="hybridMultilevel"/>
    <w:lvl w:ilvl="0">
      <w:lvlJc w:val="left"/>
      <w:lvlText w:val="(%1)"/>
      <w:numFmt w:val="lowerLetter"/>
      <w:start w:val="1"/>
    </w:lvl>
  </w:abstractNum>
  <w:abstractNum w:abstractNumId="66">
    <w:nsid w:val="2E17ECA7"/>
    <w:multiLevelType w:val="hybridMultilevel"/>
    <w:lvl w:ilvl="0">
      <w:lvlJc w:val="left"/>
      <w:lvlText w:val="(%1)"/>
      <w:numFmt w:val="lowerLetter"/>
      <w:start w:val="3"/>
    </w:lvl>
  </w:abstractNum>
  <w:abstractNum w:abstractNumId="67">
    <w:nsid w:val="53B2564F"/>
    <w:multiLevelType w:val="hybridMultilevel"/>
    <w:lvl w:ilvl="0">
      <w:lvlJc w:val="left"/>
      <w:lvlText w:val="(%1)"/>
      <w:numFmt w:val="decimal"/>
      <w:start w:val="1"/>
    </w:lvl>
  </w:abstractNum>
  <w:abstractNum w:abstractNumId="68">
    <w:nsid w:val="75509D76"/>
    <w:multiLevelType w:val="hybridMultilevel"/>
    <w:lvl w:ilvl="0">
      <w:lvlJc w:val="left"/>
      <w:lvlText w:val="(%1)"/>
      <w:numFmt w:val="decimal"/>
      <w:start w:val="3"/>
    </w:lvl>
  </w:abstractNum>
  <w:abstractNum w:abstractNumId="69">
    <w:nsid w:val="1AF7F0EA"/>
    <w:multiLevelType w:val="hybridMultilevel"/>
    <w:lvl w:ilvl="0">
      <w:lvlJc w:val="left"/>
      <w:lvlText w:val="%1"/>
      <w:numFmt w:val="lowerLetter"/>
      <w:start w:val="1"/>
    </w:lvl>
    <w:lvl w:ilvl="1">
      <w:lvlJc w:val="left"/>
      <w:lvlText w:val="(%2)"/>
      <w:numFmt w:val="lowerLetter"/>
      <w:start w:val="1"/>
    </w:lvl>
  </w:abstractNum>
  <w:abstractNum w:abstractNumId="70">
    <w:nsid w:val="4DA32C7E"/>
    <w:multiLevelType w:val="hybridMultilevel"/>
    <w:lvl w:ilvl="0">
      <w:lvlJc w:val="left"/>
      <w:lvlText w:val="(%1)"/>
      <w:numFmt w:val="lowerLetter"/>
      <w:start w:val="35"/>
    </w:lvl>
    <w:lvl w:ilvl="1">
      <w:lvlJc w:val="left"/>
      <w:lvlText w:val="(%2)"/>
      <w:numFmt w:val="lowerLetter"/>
      <w:start w:val="2"/>
    </w:lvl>
  </w:abstractNum>
  <w:abstractNum w:abstractNumId="71">
    <w:nsid w:val="6EC68664"/>
    <w:multiLevelType w:val="hybridMultilevel"/>
    <w:lvl w:ilvl="0">
      <w:lvlJc w:val="left"/>
      <w:lvlText w:val="(%1)"/>
      <w:numFmt w:val="upperLetter"/>
      <w:start w:val="1"/>
    </w:lvl>
    <w:lvl w:ilvl="1">
      <w:lvlJc w:val="left"/>
      <w:lvlText w:val="(%2)"/>
      <w:numFmt w:val="lowerLetter"/>
      <w:start w:val="3"/>
    </w:lvl>
  </w:abstractNum>
  <w:abstractNum w:abstractNumId="72">
    <w:nsid w:val="E0D31FF"/>
    <w:multiLevelType w:val="hybridMultilevel"/>
    <w:lvl w:ilvl="0">
      <w:lvlJc w:val="left"/>
      <w:lvlText w:val="(%1)"/>
      <w:numFmt w:val="lowerRoman"/>
      <w:start w:val="6"/>
    </w:lvl>
  </w:abstractNum>
  <w:abstractNum w:abstractNumId="73">
    <w:nsid w:val="2FD0AD81"/>
    <w:multiLevelType w:val="hybridMultilevel"/>
    <w:lvl w:ilvl="0">
      <w:lvlJc w:val="left"/>
      <w:lvlText w:val="(%1)"/>
      <w:numFmt w:val="lowerLetter"/>
      <w:start w:val="2"/>
    </w:lvl>
  </w:abstractNum>
  <w:abstractNum w:abstractNumId="74">
    <w:nsid w:val="1978EBEB"/>
    <w:multiLevelType w:val="hybridMultilevel"/>
    <w:lvl w:ilvl="0">
      <w:lvlJc w:val="left"/>
      <w:lvlText w:val="(%1)"/>
      <w:numFmt w:val="lowerRoman"/>
      <w:start w:val="1"/>
    </w:lvl>
  </w:abstractNum>
  <w:abstractNum w:abstractNumId="75">
    <w:nsid w:val="52C12C61"/>
    <w:multiLevelType w:val="hybridMultilevel"/>
    <w:lvl w:ilvl="0">
      <w:lvlJc w:val="left"/>
      <w:lvlText w:val="(%1)"/>
      <w:numFmt w:val="lowerLetter"/>
      <w:start w:val="1"/>
    </w:lvl>
    <w:lvl w:ilvl="1">
      <w:lvlJc w:val="left"/>
      <w:lvlText w:val="(%2)"/>
      <w:numFmt w:val="lowerRoman"/>
      <w:start w:val="1"/>
    </w:lvl>
  </w:abstractNum>
  <w:abstractNum w:abstractNumId="76">
    <w:nsid w:val="4BDD53FD"/>
    <w:multiLevelType w:val="hybridMultilevel"/>
    <w:lvl w:ilvl="0">
      <w:lvlJc w:val="left"/>
      <w:lvlText w:val="%1"/>
      <w:numFmt w:val="lowerLetter"/>
      <w:start w:val="1"/>
    </w:lvl>
    <w:lvl w:ilvl="1">
      <w:lvlJc w:val="left"/>
      <w:lvlText w:val="(%2)"/>
      <w:numFmt w:val="lowerLetter"/>
      <w:start w:val="2"/>
    </w:lvl>
  </w:abstractNum>
  <w:abstractNum w:abstractNumId="77">
    <w:nsid w:val="569951FE"/>
    <w:multiLevelType w:val="hybridMultilevel"/>
    <w:lvl w:ilvl="0">
      <w:lvlJc w:val="left"/>
      <w:lvlText w:val="(%1)"/>
      <w:numFmt w:val="lowerLetter"/>
      <w:start w:val="3"/>
    </w:lvl>
    <w:lvl w:ilvl="1">
      <w:lvlJc w:val="left"/>
      <w:lvlText w:val="%2"/>
      <w:numFmt w:val="lowerLetter"/>
      <w:start w:val="1"/>
    </w:lvl>
  </w:abstractNum>
  <w:abstractNum w:abstractNumId="78">
    <w:nsid w:val="4C54E2C3"/>
    <w:multiLevelType w:val="hybridMultilevel"/>
    <w:lvl w:ilvl="0">
      <w:lvlJc w:val="left"/>
      <w:lvlText w:val="(%1)"/>
      <w:numFmt w:val="lowerRoman"/>
      <w:start w:val="2"/>
    </w:lvl>
  </w:abstractNum>
  <w:abstractNum w:abstractNumId="79">
    <w:nsid w:val="788BD9B"/>
    <w:multiLevelType w:val="hybridMultilevel"/>
    <w:lvl w:ilvl="0">
      <w:lvlJc w:val="left"/>
      <w:lvlText w:val="(%1)"/>
      <w:numFmt w:val="lowerRoman"/>
      <w:start w:val="10"/>
    </w:lvl>
  </w:abstractNum>
  <w:abstractNum w:abstractNumId="80">
    <w:nsid w:val="47CAA567"/>
    <w:multiLevelType w:val="hybridMultilevel"/>
    <w:lvl w:ilvl="0">
      <w:lvlJc w:val="left"/>
      <w:lvlText w:val="(%1)"/>
      <w:numFmt w:val="lowerLetter"/>
      <w:start w:val="1"/>
    </w:lvl>
  </w:abstractNum>
  <w:abstractNum w:abstractNumId="81">
    <w:nsid w:val="48249DBF"/>
    <w:multiLevelType w:val="hybridMultilevel"/>
    <w:lvl w:ilvl="0">
      <w:lvlJc w:val="left"/>
      <w:lvlText w:val="(%1)"/>
      <w:numFmt w:val="lowerLetter"/>
      <w:start w:val="5"/>
    </w:lvl>
  </w:abstractNum>
  <w:abstractNum w:abstractNumId="82">
    <w:nsid w:val="1F0E5D0D"/>
    <w:multiLevelType w:val="hybridMultilevel"/>
    <w:lvl w:ilvl="0">
      <w:lvlJc w:val="left"/>
      <w:lvlText w:val="(%1)"/>
      <w:numFmt w:val="lowerLetter"/>
      <w:start w:val="6"/>
    </w:lvl>
  </w:abstractNum>
  <w:abstractNum w:abstractNumId="83">
    <w:nsid w:val="26BAAE9"/>
    <w:multiLevelType w:val="hybridMultilevel"/>
    <w:lvl w:ilvl="0">
      <w:lvlJc w:val="left"/>
      <w:lvlText w:val="(%1)"/>
      <w:numFmt w:val="lowerLetter"/>
      <w:start w:val="25"/>
    </w:lvl>
  </w:abstractNum>
  <w:abstractNum w:abstractNumId="84">
    <w:nsid w:val="2C02FE8C"/>
    <w:multiLevelType w:val="hybridMultilevel"/>
    <w:lvl w:ilvl="0">
      <w:lvlJc w:val="left"/>
      <w:lvlText w:val="(%1)"/>
      <w:numFmt w:val="lowerLetter"/>
      <w:start w:val="2"/>
    </w:lvl>
  </w:abstractNum>
  <w:abstractNum w:abstractNumId="85">
    <w:nsid w:val="129517E"/>
    <w:multiLevelType w:val="hybridMultilevel"/>
    <w:lvl w:ilvl="0">
      <w:lvlJc w:val="left"/>
      <w:lvlText w:val="(%1)"/>
      <w:numFmt w:val="lowerLetter"/>
      <w:start w:val="1"/>
    </w:lvl>
  </w:abstractNum>
  <w:abstractNum w:abstractNumId="86">
    <w:nsid w:val="763B8C4E"/>
    <w:multiLevelType w:val="hybridMultilevel"/>
    <w:lvl w:ilvl="0">
      <w:lvlJc w:val="left"/>
      <w:lvlText w:val="(%1)"/>
      <w:numFmt w:val="lowerLetter"/>
      <w:start w:val="1"/>
    </w:lvl>
  </w:abstractNum>
  <w:abstractNum w:abstractNumId="87">
    <w:nsid w:val="4CFB8D32"/>
    <w:multiLevelType w:val="hybridMultilevel"/>
    <w:lvl w:ilvl="0">
      <w:lvlJc w:val="left"/>
      <w:lvlText w:val="(%1)"/>
      <w:numFmt w:val="lowerLetter"/>
      <w:start w:val="1"/>
    </w:lvl>
  </w:abstractNum>
  <w:abstractNum w:abstractNumId="88">
    <w:nsid w:val="62A5D5BD"/>
    <w:multiLevelType w:val="hybridMultilevel"/>
    <w:lvl w:ilvl="0">
      <w:lvlJc w:val="left"/>
      <w:lvlText w:val="(%1)"/>
      <w:numFmt w:val="lowerLetter"/>
      <w:start w:val="1"/>
    </w:lvl>
  </w:abstractNum>
  <w:abstractNum w:abstractNumId="89">
    <w:nsid w:val="718FABF9"/>
    <w:multiLevelType w:val="hybridMultilevel"/>
    <w:lvl w:ilvl="0">
      <w:lvlJc w:val="left"/>
      <w:lvlText w:val="(%1)"/>
      <w:numFmt w:val="lowerLetter"/>
      <w:start w:val="2"/>
    </w:lvl>
  </w:abstractNum>
  <w:abstractNum w:abstractNumId="90">
    <w:nsid w:val="7775797C"/>
    <w:multiLevelType w:val="hybridMultilevel"/>
    <w:lvl w:ilvl="0">
      <w:lvlJc w:val="left"/>
      <w:lvlText w:val="(%1)"/>
      <w:numFmt w:val="lowerLetter"/>
      <w:start w:val="1"/>
    </w:lvl>
  </w:abstractNum>
  <w:abstractNum w:abstractNumId="91">
    <w:nsid w:val="1626FB8C"/>
    <w:multiLevelType w:val="hybridMultilevel"/>
    <w:lvl w:ilvl="0">
      <w:lvlJc w:val="left"/>
      <w:lvlText w:val="(%1)"/>
      <w:numFmt w:val="lowerLetter"/>
      <w:start w:val="3"/>
    </w:lvl>
  </w:abstractNum>
  <w:abstractNum w:abstractNumId="92">
    <w:nsid w:val="3957756A"/>
    <w:multiLevelType w:val="hybridMultilevel"/>
    <w:lvl w:ilvl="0">
      <w:lvlJc w:val="left"/>
      <w:lvlText w:val="(%1)"/>
      <w:numFmt w:val="lowerRoman"/>
      <w:start w:val="1"/>
    </w:lvl>
  </w:abstractNum>
  <w:abstractNum w:abstractNumId="93">
    <w:nsid w:val="3E6DA1C7"/>
    <w:multiLevelType w:val="hybridMultilevel"/>
    <w:lvl w:ilvl="0">
      <w:lvlJc w:val="left"/>
      <w:lvlText w:val="(%1)"/>
      <w:numFmt w:val="lowerLetter"/>
      <w:start w:val="1"/>
    </w:lvl>
  </w:abstractNum>
  <w:abstractNum w:abstractNumId="94">
    <w:nsid w:val="65CA235B"/>
    <w:multiLevelType w:val="hybridMultilevel"/>
    <w:lvl w:ilvl="0">
      <w:lvlJc w:val="left"/>
      <w:lvlText w:val="(%1)"/>
      <w:numFmt w:val="lowerLetter"/>
      <w:start w:val="3"/>
    </w:lvl>
    <w:lvl w:ilvl="1">
      <w:lvlJc w:val="left"/>
      <w:lvlText w:val="(%2)"/>
      <w:numFmt w:val="lowerLetter"/>
      <w:start w:val="35"/>
    </w:lvl>
  </w:abstractNum>
  <w:abstractNum w:abstractNumId="95">
    <w:nsid w:val="51CB0DA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96">
    <w:nsid w:val="7B9B743C"/>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35"/>
    </w:lvl>
  </w:abstractNum>
  <w:abstractNum w:abstractNumId="97">
    <w:nsid w:val="13E21002"/>
    <w:multiLevelType w:val="hybridMultilevel"/>
    <w:lvl w:ilvl="0">
      <w:lvlJc w:val="left"/>
      <w:lvlText w:val="(%1)"/>
      <w:numFmt w:val="lowerLetter"/>
      <w:start w:val="1"/>
    </w:lvl>
    <w:lvl w:ilvl="1">
      <w:lvlJc w:val="left"/>
      <w:lvlText w:val="(%2)"/>
      <w:numFmt w:val="lowerLetter"/>
      <w:start w:val="9"/>
    </w:lvl>
  </w:abstractNum>
  <w:abstractNum w:abstractNumId="98">
    <w:nsid w:val="257D63F4"/>
    <w:multiLevelType w:val="hybridMultilevel"/>
    <w:lvl w:ilvl="0">
      <w:lvlJc w:val="left"/>
      <w:lvlText w:val="(%1)"/>
      <w:numFmt w:val="lowerRoman"/>
      <w:start w:val="2"/>
    </w:lvl>
    <w:lvl w:ilvl="1">
      <w:lvlJc w:val="left"/>
      <w:lvlText w:val="(%2)"/>
      <w:numFmt w:val="upperLetter"/>
      <w:start w:val="1"/>
    </w:lvl>
  </w:abstractNum>
  <w:abstractNum w:abstractNumId="99">
    <w:nsid w:val="70EC11B2"/>
    <w:multiLevelType w:val="hybridMultilevel"/>
    <w:lvl w:ilvl="0">
      <w:lvlJc w:val="left"/>
      <w:lvlText w:val="(%1)"/>
      <w:numFmt w:val="upperLetter"/>
      <w:start w:val="2"/>
    </w:lvl>
  </w:abstractNum>
  <w:abstractNum w:abstractNumId="100">
    <w:nsid w:val="2EDA00ED"/>
    <w:multiLevelType w:val="hybridMultilevel"/>
    <w:lvl w:ilvl="0">
      <w:lvlJc w:val="left"/>
      <w:lvlText w:val="%1"/>
      <w:numFmt w:val="lowerRoman"/>
      <w:start w:val="1"/>
    </w:lvl>
    <w:lvl w:ilvl="1">
      <w:lvlJc w:val="left"/>
      <w:lvlText w:val="(%2)"/>
      <w:numFmt w:val="upperLetter"/>
      <w:start w:val="3"/>
    </w:lvl>
  </w:abstractNum>
  <w:abstractNum w:abstractNumId="101">
    <w:nsid w:val="73209072"/>
    <w:multiLevelType w:val="hybridMultilevel"/>
    <w:lvl w:ilvl="0">
      <w:lvlJc w:val="left"/>
      <w:lvlText w:val="(%1)"/>
      <w:numFmt w:val="lowerRoman"/>
      <w:start w:val="4"/>
    </w:lvl>
    <w:lvl w:ilvl="1">
      <w:lvlJc w:val="left"/>
      <w:lvlText w:val="%2"/>
      <w:numFmt w:val="upperLetter"/>
      <w:start w:val="1"/>
    </w:lvl>
  </w:abstractNum>
  <w:abstractNum w:abstractNumId="102">
    <w:nsid w:val="5FB29816"/>
    <w:multiLevelType w:val="hybridMultilevel"/>
    <w:lvl w:ilvl="0">
      <w:lvlJc w:val="left"/>
      <w:lvlText w:val="(%1)"/>
      <w:numFmt w:val="lowerLetter"/>
      <w:start w:val="2"/>
    </w:lvl>
    <w:lvl w:ilvl="1">
      <w:lvlJc w:val="left"/>
      <w:lvlText w:val="(%2)"/>
      <w:numFmt w:val="lowerRoman"/>
      <w:start w:val="1"/>
    </w:lvl>
  </w:abstractNum>
  <w:abstractNum w:abstractNumId="103">
    <w:nsid w:val="3CE732EC"/>
    <w:multiLevelType w:val="hybridMultilevel"/>
    <w:lvl w:ilvl="0">
      <w:lvlJc w:val="left"/>
      <w:lvlText w:val="%1"/>
      <w:numFmt w:val="lowerLetter"/>
      <w:start w:val="1"/>
    </w:lvl>
    <w:lvl w:ilvl="1">
      <w:lvlJc w:val="left"/>
      <w:lvlText w:val="(%2)"/>
      <w:numFmt w:val="lowerRoman"/>
      <w:start w:val="4"/>
    </w:lvl>
  </w:abstractNum>
  <w:abstractNum w:abstractNumId="104">
    <w:nsid w:val="22F13DF3"/>
    <w:multiLevelType w:val="hybridMultilevel"/>
    <w:lvl w:ilvl="0">
      <w:lvlJc w:val="left"/>
      <w:lvlText w:val="(%1)"/>
      <w:numFmt w:val="lowerLetter"/>
      <w:start w:val="3"/>
    </w:lvl>
    <w:lvl w:ilvl="1">
      <w:lvlJc w:val="left"/>
      <w:lvlText w:val="(%2)"/>
      <w:numFmt w:val="lowerRoman"/>
      <w:start w:val="1"/>
    </w:lvl>
  </w:abstractNum>
  <w:abstractNum w:abstractNumId="105">
    <w:nsid w:val="792B8401"/>
    <w:multiLevelType w:val="hybridMultilevel"/>
    <w:lvl w:ilvl="0">
      <w:lvlJc w:val="left"/>
      <w:lvlText w:val="(%1)"/>
      <w:numFmt w:val="lowerRoman"/>
      <w:start w:val="2"/>
    </w:lvl>
  </w:abstractNum>
  <w:abstractNum w:abstractNumId="106">
    <w:nsid w:val="FA85F4D"/>
    <w:multiLevelType w:val="hybridMultilevel"/>
    <w:lvl w:ilvl="0">
      <w:lvlJc w:val="left"/>
      <w:lvlText w:val="%1"/>
      <w:numFmt w:val="lowerLetter"/>
      <w:start w:val="1"/>
    </w:lvl>
    <w:lvl w:ilvl="1">
      <w:lvlJc w:val="left"/>
      <w:lvlText w:val="(%2)"/>
      <w:numFmt w:val="lowerRoman"/>
      <w:start w:val="4"/>
    </w:lvl>
  </w:abstractNum>
  <w:abstractNum w:abstractNumId="107">
    <w:nsid w:val="6ECE91F0"/>
    <w:multiLevelType w:val="hybridMultilevel"/>
    <w:lvl w:ilvl="0">
      <w:lvlJc w:val="left"/>
      <w:lvlText w:val="(%1)"/>
      <w:numFmt w:val="lowerLetter"/>
      <w:start w:val="4"/>
    </w:lvl>
    <w:lvl w:ilvl="1">
      <w:lvlJc w:val="left"/>
      <w:lvlText w:val="(%2)"/>
      <w:numFmt w:val="lowerRoman"/>
      <w:start w:val="1"/>
    </w:lvl>
  </w:abstractNum>
  <w:abstractNum w:abstractNumId="108">
    <w:nsid w:val="4FC4D600"/>
    <w:multiLevelType w:val="hybridMultilevel"/>
    <w:lvl w:ilvl="0">
      <w:lvlJc w:val="left"/>
      <w:lvlText w:val="%1"/>
      <w:numFmt w:val="lowerLetter"/>
      <w:start w:val="1"/>
    </w:lvl>
    <w:lvl w:ilvl="1">
      <w:lvlJc w:val="left"/>
      <w:lvlText w:val="(%2)"/>
      <w:numFmt w:val="lowerLetter"/>
      <w:start w:val="35"/>
    </w:lvl>
  </w:abstractNum>
  <w:abstractNum w:abstractNumId="109">
    <w:nsid w:val="5BFD4210"/>
    <w:multiLevelType w:val="hybridMultilevel"/>
    <w:lvl w:ilvl="0">
      <w:lvlJc w:val="left"/>
      <w:lvlText w:val="(%1)"/>
      <w:numFmt w:val="lowerLetter"/>
      <w:start w:val="5"/>
    </w:lvl>
    <w:lvl w:ilvl="1">
      <w:lvlJc w:val="left"/>
      <w:lvlText w:val="%2"/>
      <w:numFmt w:val="lowerLetter"/>
      <w:start w:val="1"/>
    </w:lvl>
  </w:abstractNum>
  <w:abstractNum w:abstractNumId="110">
    <w:nsid w:val="76574F8B"/>
    <w:multiLevelType w:val="hybridMultilevel"/>
    <w:lvl w:ilvl="0">
      <w:lvlJc w:val="left"/>
      <w:lvlText w:val="(%1)"/>
      <w:numFmt w:val="lowerLetter"/>
      <w:start w:val="6"/>
    </w:lvl>
    <w:lvl w:ilvl="1">
      <w:lvlJc w:val="left"/>
      <w:lvlText w:val="(%2)"/>
      <w:numFmt w:val="lowerLetter"/>
      <w:start w:val="9"/>
    </w:lvl>
  </w:abstractNum>
  <w:abstractNum w:abstractNumId="111">
    <w:nsid w:val="178F7B67"/>
    <w:multiLevelType w:val="hybridMultilevel"/>
    <w:lvl w:ilvl="0">
      <w:lvlJc w:val="left"/>
      <w:lvlText w:val="%1"/>
      <w:numFmt w:val="lowerLetter"/>
      <w:start w:val="1"/>
    </w:lvl>
    <w:lvl w:ilvl="1">
      <w:lvlJc w:val="left"/>
      <w:lvlText w:val="(%2)"/>
      <w:numFmt w:val="lowerRoman"/>
      <w:start w:val="2"/>
    </w:lvl>
  </w:abstractNum>
  <w:abstractNum w:abstractNumId="112">
    <w:nsid w:val="2421DFCF"/>
    <w:multiLevelType w:val="hybridMultilevel"/>
    <w:lvl w:ilvl="0">
      <w:lvlJc w:val="left"/>
      <w:lvlText w:val="(%1)"/>
      <w:numFmt w:val="lowerLetter"/>
      <w:start w:val="8"/>
    </w:lvl>
    <w:lvl w:ilvl="1">
      <w:lvlJc w:val="left"/>
      <w:lvlText w:val="%2"/>
      <w:numFmt w:val="lowerRoman"/>
      <w:start w:val="1"/>
    </w:lvl>
  </w:abstractNum>
  <w:abstractNum w:abstractNumId="113">
    <w:nsid w:val="1565AC99"/>
    <w:multiLevelType w:val="hybridMultilevel"/>
    <w:lvl w:ilvl="0">
      <w:lvlJc w:val="left"/>
      <w:lvlText w:val="(%1)"/>
      <w:numFmt w:val="lowerLetter"/>
      <w:start w:val="11"/>
    </w:lvl>
  </w:abstractNum>
  <w:abstractNum w:abstractNumId="114">
    <w:nsid w:val="19FB2650"/>
    <w:multiLevelType w:val="hybridMultilevel"/>
    <w:lvl w:ilvl="0">
      <w:lvlJc w:val="left"/>
      <w:lvlText w:val="(%1)"/>
      <w:numFmt w:val="lowerLetter"/>
      <w:start w:val="1"/>
    </w:lvl>
  </w:abstractNum>
  <w:abstractNum w:abstractNumId="115">
    <w:nsid w:val="5024DE5B"/>
    <w:multiLevelType w:val="hybridMultilevel"/>
    <w:lvl w:ilvl="0">
      <w:lvlJc w:val="left"/>
      <w:lvlText w:val="(%1)"/>
      <w:numFmt w:val="lowerLetter"/>
      <w:start w:val="1"/>
    </w:lvl>
  </w:abstractNum>
  <w:abstractNum w:abstractNumId="116">
    <w:nsid w:val="168EFE17"/>
    <w:multiLevelType w:val="hybridMultilevel"/>
    <w:lvl w:ilvl="0">
      <w:lvlJc w:val="left"/>
      <w:lvlText w:val="(%1)"/>
      <w:numFmt w:val="lowerLetter"/>
      <w:start w:val="2"/>
    </w:lvl>
  </w:abstractNum>
  <w:abstractNum w:abstractNumId="117">
    <w:nsid w:val="1036B29F"/>
    <w:multiLevelType w:val="hybridMultilevel"/>
    <w:lvl w:ilvl="0">
      <w:lvlJc w:val="left"/>
      <w:lvlText w:val="(%1)"/>
      <w:numFmt w:val="lowerLetter"/>
      <w:start w:val="1"/>
    </w:lvl>
  </w:abstractNum>
  <w:abstractNum w:abstractNumId="118">
    <w:nsid w:val="1D206B8E"/>
    <w:multiLevelType w:val="hybridMultilevel"/>
    <w:lvl w:ilvl="0">
      <w:lvlJc w:val="left"/>
      <w:lvlText w:val="(%1)"/>
      <w:numFmt w:val="lowerLetter"/>
      <w:start w:val="4"/>
    </w:lvl>
  </w:abstractNum>
  <w:abstractNum w:abstractNumId="119">
    <w:nsid w:val="7934D3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0">
    <w:nsid w:val="1C65E98"/>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21">
    <w:nsid w:val="1495E50A"/>
    <w:multiLevelType w:val="hybridMultilevel"/>
    <w:lvl w:ilvl="0">
      <w:lvlJc w:val="left"/>
      <w:lvlText w:val="(%1)"/>
      <w:numFmt w:val="lowerLetter"/>
      <w:start w:val="2"/>
    </w:lvl>
  </w:abstractNum>
  <w:abstractNum w:abstractNumId="122">
    <w:nsid w:val="F5BCF61"/>
    <w:multiLevelType w:val="hybridMultilevel"/>
    <w:lvl w:ilvl="0">
      <w:lvlJc w:val="left"/>
      <w:lvlText w:val="(%1)"/>
      <w:numFmt w:val="lowerLetter"/>
      <w:start w:val="1"/>
    </w:lvl>
  </w:abstractNum>
  <w:abstractNum w:abstractNumId="123">
    <w:nsid w:val="3B1DD403"/>
    <w:multiLevelType w:val="hybridMultilevel"/>
    <w:lvl w:ilvl="0">
      <w:lvlJc w:val="left"/>
      <w:lvlText w:val="(%1)"/>
      <w:numFmt w:val="lowerLetter"/>
      <w:start w:val="3"/>
    </w:lvl>
  </w:abstractNum>
  <w:abstractNum w:abstractNumId="124">
    <w:nsid w:val="530386D1"/>
    <w:multiLevelType w:val="hybridMultilevel"/>
    <w:lvl w:ilvl="0">
      <w:lvlJc w:val="left"/>
      <w:lvlText w:val="(%1)"/>
      <w:numFmt w:val="lowerLetter"/>
      <w:start w:val="1"/>
    </w:lvl>
  </w:abstractNum>
  <w:abstractNum w:abstractNumId="125">
    <w:nsid w:val="7525F2BC"/>
    <w:multiLevelType w:val="hybridMultilevel"/>
    <w:lvl w:ilvl="0">
      <w:lvlJc w:val="left"/>
      <w:lvlText w:val="(%1)"/>
      <w:numFmt w:val="lowerLetter"/>
      <w:start w:val="4"/>
    </w:lvl>
  </w:abstractNum>
  <w:abstractNum w:abstractNumId="126">
    <w:nsid w:val="CE8E1A7"/>
    <w:multiLevelType w:val="hybridMultilevel"/>
    <w:lvl w:ilvl="0">
      <w:lvlJc w:val="left"/>
      <w:lvlText w:val="(%1)"/>
      <w:numFmt w:val="lowerLetter"/>
      <w:start w:val="1"/>
    </w:lvl>
  </w:abstractNum>
  <w:abstractNum w:abstractNumId="127">
    <w:nsid w:val="4E9EFB0D"/>
    <w:multiLevelType w:val="hybridMultilevel"/>
    <w:lvl w:ilvl="0">
      <w:lvlJc w:val="left"/>
      <w:lvlText w:val="(%1)"/>
      <w:numFmt w:val="lowerLetter"/>
      <w:start w:val="1"/>
    </w:lvl>
    <w:lvl w:ilvl="1">
      <w:lvlJc w:val="left"/>
      <w:lvlText w:val="(%2)"/>
      <w:numFmt w:val="lowerRoman"/>
      <w:start w:val="1"/>
    </w:lvl>
  </w:abstractNum>
  <w:abstractNum w:abstractNumId="128">
    <w:nsid w:val="90802BE"/>
    <w:multiLevelType w:val="hybridMultilevel"/>
    <w:lvl w:ilvl="0">
      <w:lvlJc w:val="left"/>
      <w:lvlText w:val="(%1)"/>
      <w:numFmt w:val="lowerRoman"/>
      <w:start w:val="3"/>
    </w:lvl>
  </w:abstractNum>
  <w:abstractNum w:abstractNumId="129">
    <w:nsid w:val="3266459B"/>
    <w:multiLevelType w:val="hybridMultilevel"/>
    <w:lvl w:ilvl="0">
      <w:lvlJc w:val="left"/>
      <w:lvlText w:val="(%1)"/>
      <w:numFmt w:val="lowerLetter"/>
      <w:start w:val="2"/>
    </w:lvl>
  </w:abstractNum>
  <w:abstractNum w:abstractNumId="130">
    <w:nsid w:val="3F8B0CBF"/>
    <w:multiLevelType w:val="hybridMultilevel"/>
    <w:lvl w:ilvl="0">
      <w:lvlJc w:val="left"/>
      <w:lvlText w:val="(%1)"/>
      <w:numFmt w:val="lowerLetter"/>
      <w:start w:val="5"/>
    </w:lvl>
  </w:abstractNum>
  <w:abstractNum w:abstractNumId="131">
    <w:nsid w:val="37E203AB"/>
    <w:multiLevelType w:val="hybridMultilevel"/>
    <w:lvl w:ilvl="0">
      <w:lvlJc w:val="left"/>
      <w:lvlText w:val="(%1)"/>
      <w:numFmt w:val="lowerLetter"/>
      <w:start w:val="1"/>
    </w:lvl>
  </w:abstractNum>
  <w:abstractNum w:abstractNumId="132">
    <w:nsid w:val="2586D60E"/>
    <w:multiLevelType w:val="hybridMultilevel"/>
    <w:lvl w:ilvl="0">
      <w:lvlJc w:val="left"/>
      <w:lvlText w:val="(%1)"/>
      <w:numFmt w:val="lowerLetter"/>
      <w:start w:val="2"/>
    </w:lvl>
    <w:lvl w:ilvl="1">
      <w:lvlJc w:val="left"/>
      <w:lvlText w:val="(%2)"/>
      <w:numFmt w:val="lowerRoman"/>
      <w:start w:val="1"/>
    </w:lvl>
  </w:abstractNum>
  <w:abstractNum w:abstractNumId="133">
    <w:nsid w:val="1F3DA4D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4">
    <w:nsid w:val="74C93698"/>
    <w:multiLevelType w:val="hybridMultilevel"/>
    <w:lvl w:ilvl="0">
      <w:lvlJc w:val="left"/>
      <w:lvlText w:val="(%1)"/>
      <w:numFmt w:val="upperLetter"/>
      <w:start w:val="2"/>
    </w:lvl>
  </w:abstractNum>
  <w:abstractNum w:abstractNumId="135">
    <w:nsid w:val="48781401"/>
    <w:multiLevelType w:val="hybridMultilevel"/>
    <w:lvl w:ilvl="0">
      <w:lvlJc w:val="left"/>
      <w:lvlText w:val="(%1)"/>
      <w:numFmt w:val="upperLetter"/>
      <w:start w:val="9"/>
    </w:lvl>
  </w:abstractNum>
  <w:abstractNum w:abstractNumId="136">
    <w:nsid w:val="186928D6"/>
    <w:multiLevelType w:val="hybridMultilevel"/>
    <w:lvl w:ilvl="0">
      <w:lvlJc w:val="left"/>
      <w:lvlText w:val="(%1)"/>
      <w:numFmt w:val="upperLetter"/>
      <w:start w:val="61"/>
    </w:lvl>
  </w:abstractNum>
  <w:abstractNum w:abstractNumId="137">
    <w:nsid w:val="47195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38">
    <w:nsid w:val="3746A5F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39">
    <w:nsid w:val="682DFED6"/>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40">
    <w:nsid w:val="606ED7F6"/>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141">
    <w:nsid w:val="2D9DF57D"/>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42">
    <w:nsid w:val="7FBD7A3E"/>
    <w:multiLevelType w:val="hybridMultilevel"/>
    <w:lvl w:ilvl="0">
      <w:lvlJc w:val="left"/>
      <w:lvlText w:val="(%1)"/>
      <w:numFmt w:val="lowerRoman"/>
      <w:start w:val="3"/>
    </w:lvl>
    <w:lvl w:ilvl="1">
      <w:lvlJc w:val="left"/>
      <w:lvlText w:val="(%2)"/>
      <w:numFmt w:val="upperLetter"/>
      <w:start w:val="1"/>
    </w:lvl>
  </w:abstractNum>
  <w:abstractNum w:abstractNumId="143">
    <w:nsid w:val="490B7C5"/>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44">
    <w:nsid w:val="4303A216"/>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145">
    <w:nsid w:val="19B8A08E"/>
    <w:multiLevelType w:val="hybridMultilevel"/>
    <w:lvl w:ilvl="0">
      <w:lvlJc w:val="left"/>
      <w:lvlText w:val="(%1)"/>
      <w:numFmt w:val="lowerLetter"/>
      <w:start w:val="11"/>
    </w:lvl>
    <w:lvl w:ilvl="1">
      <w:lvlJc w:val="left"/>
      <w:lvlText w:val="(%2)"/>
      <w:numFmt w:val="lowerRoman"/>
      <w:start w:val="1"/>
    </w:lvl>
  </w:abstractNum>
  <w:abstractNum w:abstractNumId="146">
    <w:nsid w:val="54B59621"/>
    <w:multiLevelType w:val="hybridMultilevel"/>
    <w:lvl w:ilvl="0">
      <w:lvlJc w:val="left"/>
      <w:lvlText w:val="(%1)"/>
      <w:numFmt w:val="lowerLetter"/>
      <w:start w:val="1"/>
    </w:lvl>
  </w:abstractNum>
  <w:abstractNum w:abstractNumId="147">
    <w:nsid w:val="5992A02E"/>
    <w:multiLevelType w:val="hybridMultilevel"/>
    <w:lvl w:ilvl="0">
      <w:lvlJc w:val="left"/>
      <w:lvlText w:val="(%1)"/>
      <w:numFmt w:val="lowerLetter"/>
      <w:start w:val="2"/>
    </w:lvl>
  </w:abstractNum>
  <w:abstractNum w:abstractNumId="148">
    <w:nsid w:val="29EF532D"/>
    <w:multiLevelType w:val="hybridMultilevel"/>
    <w:lvl w:ilvl="0">
      <w:lvlJc w:val="left"/>
      <w:lvlText w:val="(%1)"/>
      <w:numFmt w:val="lowerLetter"/>
      <w:start w:val="4"/>
    </w:lvl>
  </w:abstractNum>
  <w:abstractNum w:abstractNumId="149">
    <w:nsid w:val="71D601AF"/>
    <w:multiLevelType w:val="hybridMultilevel"/>
    <w:lvl w:ilvl="0">
      <w:lvlJc w:val="left"/>
      <w:lvlText w:val="(%1)"/>
      <w:numFmt w:val="lowerLetter"/>
      <w:start w:val="1"/>
    </w:lvl>
  </w:abstractNum>
  <w:abstractNum w:abstractNumId="150">
    <w:nsid w:val="52C77402"/>
    <w:multiLevelType w:val="hybridMultilevel"/>
    <w:lvl w:ilvl="0">
      <w:lvlJc w:val="left"/>
      <w:lvlText w:val="(%1)"/>
      <w:numFmt w:val="lowerLetter"/>
      <w:start w:val="2"/>
    </w:lvl>
    <w:lvl w:ilvl="1">
      <w:lvlJc w:val="left"/>
      <w:lvlText w:val="(%2)"/>
      <w:numFmt w:val="lowerRoman"/>
      <w:start w:val="1"/>
    </w:lvl>
  </w:abstractNum>
  <w:abstractNum w:abstractNumId="151">
    <w:nsid w:val="2BB5B1C6"/>
    <w:multiLevelType w:val="hybridMultilevel"/>
    <w:lvl w:ilvl="0">
      <w:lvlJc w:val="left"/>
      <w:lvlText w:val="%1"/>
      <w:numFmt w:val="upperLetter"/>
      <w:start w:val="1"/>
    </w:lvl>
    <w:lvl w:ilvl="1">
      <w:lvlJc w:val="left"/>
      <w:lvlText w:val="(%2)"/>
      <w:numFmt w:val="lowerRoman"/>
      <w:start w:val="4"/>
    </w:lvl>
  </w:abstractNum>
  <w:abstractNum w:abstractNumId="152">
    <w:nsid w:val="66BE6B9"/>
    <w:multiLevelType w:val="hybridMultilevel"/>
    <w:lvl w:ilvl="0">
      <w:lvlJc w:val="left"/>
      <w:lvlText w:val="(%1)"/>
      <w:numFmt w:val="upperLetter"/>
      <w:start w:val="2"/>
    </w:lvl>
    <w:lvl w:ilvl="1">
      <w:lvlJc w:val="left"/>
      <w:lvlText w:val="(%2)"/>
      <w:numFmt w:val="lowerRoman"/>
      <w:start w:val="7"/>
    </w:lvl>
  </w:abstractNum>
  <w:abstractNum w:abstractNumId="153">
    <w:nsid w:val="62234363"/>
    <w:multiLevelType w:val="hybridMultilevel"/>
    <w:lvl w:ilvl="0">
      <w:lvlJc w:val="left"/>
      <w:lvlText w:val="(%1)"/>
      <w:numFmt w:val="lowerLetter"/>
      <w:start w:val="1"/>
    </w:lvl>
  </w:abstractNum>
  <w:abstractNum w:abstractNumId="154">
    <w:nsid w:val="66D385C9"/>
    <w:multiLevelType w:val="hybridMultilevel"/>
    <w:lvl w:ilvl="0">
      <w:lvlJc w:val="left"/>
      <w:lvlText w:val="(%1)"/>
      <w:numFmt w:val="lowerLetter"/>
      <w:start w:val="1"/>
    </w:lvl>
  </w:abstractNum>
  <w:abstractNum w:abstractNumId="155">
    <w:nsid w:val="596F6D8A"/>
    <w:multiLevelType w:val="hybridMultilevel"/>
    <w:lvl w:ilvl="0">
      <w:lvlJc w:val="left"/>
      <w:lvlText w:val="(%1)"/>
      <w:numFmt w:val="lowerLetter"/>
      <w:start w:val="1"/>
    </w:lvl>
  </w:abstractNum>
  <w:abstractNum w:abstractNumId="156">
    <w:nsid w:val="5749361F"/>
    <w:multiLevelType w:val="hybridMultilevel"/>
    <w:lvl w:ilvl="0">
      <w:lvlJc w:val="left"/>
      <w:lvlText w:val="(%1)"/>
      <w:numFmt w:val="lowerLetter"/>
      <w:start w:val="3"/>
    </w:lvl>
  </w:abstractNum>
  <w:abstractNum w:abstractNumId="157">
    <w:nsid w:val="73BC6770"/>
    <w:multiLevelType w:val="hybridMultilevel"/>
    <w:lvl w:ilvl="0">
      <w:lvlJc w:val="left"/>
      <w:lvlText w:val="(%1)"/>
      <w:numFmt w:val="lowerLetter"/>
      <w:start w:val="5"/>
    </w:lvl>
  </w:abstractNum>
  <w:abstractNum w:abstractNumId="158">
    <w:nsid w:val="280E6897"/>
    <w:multiLevelType w:val="hybridMultilevel"/>
    <w:lvl w:ilvl="0">
      <w:lvlJc w:val="left"/>
      <w:lvlText w:val="(%1)"/>
      <w:numFmt w:val="lowerLetter"/>
      <w:start w:val="1"/>
    </w:lvl>
  </w:abstractNum>
  <w:abstractNum w:abstractNumId="159">
    <w:nsid w:val="605138DE"/>
    <w:multiLevelType w:val="hybridMultilevel"/>
    <w:lvl w:ilvl="0">
      <w:lvlJc w:val="left"/>
      <w:lvlText w:val="(%1)"/>
      <w:numFmt w:val="lowerLetter"/>
      <w:start w:val="1"/>
    </w:lvl>
  </w:abstractNum>
  <w:abstractNum w:abstractNumId="160">
    <w:nsid w:val="2622AD0C"/>
    <w:multiLevelType w:val="hybridMultilevel"/>
    <w:lvl w:ilvl="0">
      <w:lvlJc w:val="left"/>
      <w:lvlText w:val="(%1)"/>
      <w:numFmt w:val="lowerLetter"/>
      <w:start w:val="1"/>
    </w:lvl>
  </w:abstractNum>
  <w:abstractNum w:abstractNumId="161">
    <w:nsid w:val="67997556"/>
    <w:multiLevelType w:val="hybridMultilevel"/>
    <w:lvl w:ilvl="0">
      <w:lvlJc w:val="left"/>
      <w:lvlText w:val="(%1)"/>
      <w:numFmt w:val="lowerLetter"/>
      <w:start w:val="1"/>
    </w:lvl>
  </w:abstractNum>
  <w:abstractNum w:abstractNumId="162">
    <w:nsid w:val="18333C89"/>
    <w:multiLevelType w:val="hybridMultilevel"/>
    <w:lvl w:ilvl="0">
      <w:lvlJc w:val="left"/>
      <w:lvlText w:val="(%1)"/>
      <w:numFmt w:val="lowerLetter"/>
      <w:start w:val="2"/>
    </w:lvl>
  </w:abstractNum>
  <w:abstractNum w:abstractNumId="163">
    <w:nsid w:val="4BA9831A"/>
    <w:multiLevelType w:val="hybridMultilevel"/>
    <w:lvl w:ilvl="0">
      <w:lvlJc w:val="left"/>
      <w:lvlText w:val="(%1)"/>
      <w:numFmt w:val="lowerLetter"/>
      <w:start w:val="1"/>
    </w:lvl>
  </w:abstractNum>
  <w:abstractNum w:abstractNumId="164">
    <w:nsid w:val="6D71A2B"/>
    <w:multiLevelType w:val="hybridMultilevel"/>
    <w:lvl w:ilvl="0">
      <w:lvlJc w:val="left"/>
      <w:lvlText w:val="(%1)"/>
      <w:numFmt w:val="lowerLetter"/>
      <w:start w:val="4"/>
    </w:lvl>
  </w:abstractNum>
  <w:abstractNum w:abstractNumId="165">
    <w:nsid w:val="CFC7321"/>
    <w:multiLevelType w:val="hybridMultilevel"/>
    <w:lvl w:ilvl="0">
      <w:lvlJc w:val="left"/>
      <w:lvlText w:val="(%1)"/>
      <w:numFmt w:val="lowerLetter"/>
      <w:start w:val="1"/>
    </w:lvl>
  </w:abstractNum>
  <w:abstractNum w:abstractNumId="166">
    <w:nsid w:val="1421971B"/>
    <w:multiLevelType w:val="hybridMultilevel"/>
    <w:lvl w:ilvl="0">
      <w:lvlJc w:val="left"/>
      <w:lvlText w:val="(%1)"/>
      <w:numFmt w:val="lowerLetter"/>
      <w:start w:val="6"/>
    </w:lvl>
  </w:abstractNum>
  <w:abstractNum w:abstractNumId="167">
    <w:nsid w:val="1F404301"/>
    <w:multiLevelType w:val="hybridMultilevel"/>
    <w:lvl w:ilvl="0">
      <w:lvlJc w:val="left"/>
      <w:lvlText w:val="(%1)"/>
      <w:numFmt w:val="lowerLetter"/>
      <w:start w:val="1"/>
    </w:lvl>
  </w:abstractNum>
  <w:abstractNum w:abstractNumId="168">
    <w:nsid w:val="116E0907"/>
    <w:multiLevelType w:val="hybridMultilevel"/>
    <w:lvl w:ilvl="0">
      <w:lvlJc w:val="left"/>
      <w:lvlText w:val="(%1)"/>
      <w:numFmt w:val="lowerLetter"/>
      <w:start w:val="1"/>
    </w:lvl>
  </w:abstractNum>
  <w:abstractNum w:abstractNumId="169">
    <w:nsid w:val="4B683D0D"/>
    <w:multiLevelType w:val="hybridMultilevel"/>
    <w:lvl w:ilvl="0">
      <w:lvlJc w:val="left"/>
      <w:lvlText w:val="(%1)"/>
      <w:numFmt w:val="lowerLetter"/>
      <w:start w:val="4"/>
    </w:lvl>
  </w:abstractNum>
  <w:abstractNum w:abstractNumId="170">
    <w:nsid w:val="76E41D8"/>
    <w:multiLevelType w:val="hybridMultilevel"/>
    <w:lvl w:ilvl="0">
      <w:lvlJc w:val="left"/>
      <w:lvlText w:val="(%1)"/>
      <w:numFmt w:val="lowerLetter"/>
      <w:start w:val="1"/>
    </w:lvl>
  </w:abstractNum>
  <w:abstractNum w:abstractNumId="171">
    <w:nsid w:val="71DCE0FD"/>
    <w:multiLevelType w:val="hybridMultilevel"/>
    <w:lvl w:ilvl="0">
      <w:lvlJc w:val="left"/>
      <w:lvlText w:val="(%1)"/>
      <w:numFmt w:val="lowerLetter"/>
      <w:start w:val="1"/>
    </w:lvl>
    <w:lvl w:ilvl="1">
      <w:lvlJc w:val="left"/>
      <w:lvlText w:val="(%2)"/>
      <w:numFmt w:val="lowerRoman"/>
      <w:start w:val="1"/>
    </w:lvl>
  </w:abstractNum>
  <w:abstractNum w:abstractNumId="172">
    <w:nsid w:val="7906328B"/>
    <w:multiLevelType w:val="hybridMultilevel"/>
    <w:lvl w:ilvl="0">
      <w:lvlJc w:val="left"/>
      <w:lvlText w:val="(%1)"/>
      <w:numFmt w:val="lowerLetter"/>
      <w:start w:val="3"/>
    </w:lvl>
  </w:abstractNum>
  <w:abstractNum w:abstractNumId="173">
    <w:nsid w:val="72BBC16"/>
    <w:multiLevelType w:val="hybridMultilevel"/>
    <w:lvl w:ilvl="0">
      <w:lvlJc w:val="left"/>
      <w:lvlText w:val="%1"/>
      <w:numFmt w:val="lowerLetter"/>
      <w:start w:val="1"/>
    </w:lvl>
    <w:lvl w:ilvl="1">
      <w:lvlJc w:val="left"/>
      <w:lvlText w:val="(%2)"/>
      <w:numFmt w:val="lowerLetter"/>
      <w:start w:val="1"/>
    </w:lvl>
  </w:abstractNum>
  <w:abstractNum w:abstractNumId="174">
    <w:nsid w:val="766D98C2"/>
    <w:multiLevelType w:val="hybridMultilevel"/>
    <w:lvl w:ilvl="0">
      <w:lvlJc w:val="left"/>
      <w:lvlText w:val="(%1)"/>
      <w:numFmt w:val="lowerLetter"/>
      <w:start w:val="4"/>
    </w:lvl>
    <w:lvl w:ilvl="1">
      <w:lvlJc w:val="left"/>
      <w:lvlText w:val="(%2)"/>
      <w:numFmt w:val="lowerLetter"/>
      <w:start w:val="5"/>
    </w:lvl>
  </w:abstractNum>
  <w:abstractNum w:abstractNumId="175">
    <w:nsid w:val="3C09D4A1"/>
    <w:multiLevelType w:val="hybridMultilevel"/>
    <w:lvl w:ilvl="0">
      <w:lvlJc w:val="left"/>
      <w:lvlText w:val="(%1)"/>
      <w:numFmt w:val="lowerLetter"/>
      <w:start w:val="7"/>
    </w:lvl>
  </w:abstractNum>
  <w:abstractNum w:abstractNumId="176">
    <w:nsid w:val="20E45CA4"/>
    <w:multiLevelType w:val="hybridMultilevel"/>
    <w:lvl w:ilvl="0">
      <w:lvlJc w:val="left"/>
      <w:lvlText w:val="(%1)"/>
      <w:numFmt w:val="lowerLetter"/>
      <w:start w:val="17"/>
    </w:lvl>
  </w:abstractNum>
  <w:abstractNum w:abstractNumId="177">
    <w:nsid w:val="4B232EE3"/>
    <w:multiLevelType w:val="hybridMultilevel"/>
    <w:lvl w:ilvl="0">
      <w:lvlJc w:val="left"/>
      <w:lvlText w:val="(%1)"/>
      <w:numFmt w:val="lowerLetter"/>
      <w:start w:val="1"/>
    </w:lvl>
  </w:abstractNum>
  <w:abstractNum w:abstractNumId="178">
    <w:nsid w:val="159C74CF"/>
    <w:multiLevelType w:val="hybridMultilevel"/>
    <w:lvl w:ilvl="0">
      <w:lvlJc w:val="left"/>
      <w:lvlText w:val="%1"/>
      <w:numFmt w:val="lowerLetter"/>
      <w:start w:val="1"/>
    </w:lvl>
    <w:lvl w:ilvl="1">
      <w:lvlJc w:val="left"/>
      <w:lvlText w:val="(%2)"/>
      <w:numFmt w:val="lowerLetter"/>
      <w:start w:val="5"/>
    </w:lvl>
  </w:abstractNum>
  <w:abstractNum w:abstractNumId="179">
    <w:nsid w:val="4AD3AFD2"/>
    <w:multiLevelType w:val="hybridMultilevel"/>
    <w:lvl w:ilvl="0">
      <w:lvlJc w:val="left"/>
      <w:lvlText w:val="(%1)"/>
      <w:numFmt w:val="lowerLetter"/>
      <w:start w:val="35"/>
    </w:lvl>
    <w:lvl w:ilvl="1">
      <w:lvlJc w:val="left"/>
      <w:lvlText w:val="(%2)"/>
      <w:numFmt w:val="lowerLetter"/>
      <w:start w:val="8"/>
    </w:lvl>
  </w:abstractNum>
  <w:abstractNum w:abstractNumId="180">
    <w:nsid w:val="3CF93092"/>
    <w:multiLevelType w:val="hybridMultilevel"/>
    <w:lvl w:ilvl="0">
      <w:lvlJc w:val="left"/>
      <w:lvlText w:val="(%1)"/>
      <w:numFmt w:val="lowerLetter"/>
      <w:start w:val="35"/>
    </w:lvl>
    <w:lvl w:ilvl="1">
      <w:lvlJc w:val="left"/>
      <w:lvlText w:val="%2"/>
      <w:numFmt w:val="lowerLetter"/>
      <w:start w:val="1"/>
    </w:lvl>
  </w:abstractNum>
  <w:abstractNum w:abstractNumId="181">
    <w:nsid w:val="6863E8D2"/>
    <w:multiLevelType w:val="hybridMultilevel"/>
    <w:lvl w:ilvl="0">
      <w:lvlJc w:val="left"/>
      <w:lvlText w:val="(%1)"/>
      <w:numFmt w:val="lowerLetter"/>
      <w:start w:val="12"/>
    </w:lvl>
  </w:abstractNum>
  <w:abstractNum w:abstractNumId="182">
    <w:nsid w:val="76896198"/>
    <w:multiLevelType w:val="hybridMultilevel"/>
    <w:lvl w:ilvl="0">
      <w:lvlJc w:val="left"/>
      <w:lvlText w:val="(%1)"/>
      <w:numFmt w:val="lowerLetter"/>
      <w:start w:val="22"/>
    </w:lvl>
  </w:abstractNum>
  <w:abstractNum w:abstractNumId="183">
    <w:nsid w:val="4365174B"/>
    <w:multiLevelType w:val="hybridMultilevel"/>
    <w:lvl w:ilvl="0">
      <w:lvlJc w:val="left"/>
      <w:lvlText w:val="(%1)"/>
      <w:numFmt w:val="lowerLetter"/>
      <w:start w:val="27"/>
    </w:lvl>
  </w:abstractNum>
  <w:abstractNum w:abstractNumId="184">
    <w:nsid w:val="4A872C35"/>
    <w:multiLevelType w:val="hybridMultilevel"/>
    <w:lvl w:ilvl="0">
      <w:lvlJc w:val="left"/>
      <w:lvlText w:val="(%1)"/>
      <w:numFmt w:val="lowerLetter"/>
      <w:start w:val="1"/>
    </w:lvl>
  </w:abstractNum>
  <w:abstractNum w:abstractNumId="185">
    <w:nsid w:val="5D5CE761"/>
    <w:multiLevelType w:val="hybridMultilevel"/>
    <w:lvl w:ilvl="0">
      <w:lvlJc w:val="left"/>
      <w:lvlText w:val="%1"/>
      <w:numFmt w:val="lowerLetter"/>
      <w:start w:val="1"/>
    </w:lvl>
    <w:lvl w:ilvl="1">
      <w:lvlJc w:val="left"/>
      <w:lvlText w:val="(%2)"/>
      <w:numFmt w:val="lowerLetter"/>
      <w:start w:val="1"/>
    </w:lvl>
  </w:abstractNum>
  <w:abstractNum w:abstractNumId="186">
    <w:nsid w:val="1CD484D5"/>
    <w:multiLevelType w:val="hybridMultilevel"/>
    <w:lvl w:ilvl="0">
      <w:lvlJc w:val="left"/>
      <w:lvlText w:val="(%1)"/>
      <w:numFmt w:val="lowerLetter"/>
      <w:start w:val="61"/>
    </w:lvl>
    <w:lvl w:ilvl="1">
      <w:lvlJc w:val="left"/>
      <w:lvlText w:val="(%2)"/>
      <w:numFmt w:val="lowerLetter"/>
      <w:start w:val="3"/>
    </w:lvl>
  </w:abstractNum>
  <w:abstractNum w:abstractNumId="187">
    <w:nsid w:val="21D06255"/>
    <w:multiLevelType w:val="hybridMultilevel"/>
    <w:lvl w:ilvl="0">
      <w:lvlJc w:val="left"/>
      <w:lvlText w:val="(%1)"/>
      <w:numFmt w:val="lowerLetter"/>
      <w:start w:val="4"/>
    </w:lvl>
  </w:abstractNum>
  <w:abstractNum w:abstractNumId="188">
    <w:nsid w:val="51194ED1"/>
    <w:multiLevelType w:val="hybridMultilevel"/>
    <w:lvl w:ilvl="0">
      <w:lvlJc w:val="left"/>
      <w:lvlText w:val="(%1)"/>
      <w:numFmt w:val="lowerLetter"/>
      <w:start w:val="15"/>
    </w:lvl>
  </w:abstractNum>
  <w:abstractNum w:abstractNumId="189">
    <w:nsid w:val="44E2ED6C"/>
    <w:multiLevelType w:val="hybridMultilevel"/>
    <w:lvl w:ilvl="0">
      <w:lvlJc w:val="left"/>
      <w:lvlText w:val="(%1)"/>
      <w:numFmt w:val="lowerLetter"/>
      <w:start w:val="5"/>
    </w:lvl>
  </w:abstractNum>
  <w:abstractNum w:abstractNumId="190">
    <w:nsid w:val="2219B33"/>
    <w:multiLevelType w:val="hybridMultilevel"/>
    <w:lvl w:ilvl="0">
      <w:lvlJc w:val="left"/>
      <w:lvlText w:val="(%1)"/>
      <w:numFmt w:val="lowerLetter"/>
      <w:start w:val="1"/>
    </w:lvl>
  </w:abstractNum>
  <w:abstractNum w:abstractNumId="191">
    <w:nsid w:val="773BFBDD"/>
    <w:multiLevelType w:val="hybridMultilevel"/>
    <w:lvl w:ilvl="0">
      <w:lvlJc w:val="left"/>
      <w:lvlText w:val="%1"/>
      <w:numFmt w:val="lowerLetter"/>
      <w:start w:val="1"/>
    </w:lvl>
    <w:lvl w:ilvl="1">
      <w:lvlJc w:val="left"/>
      <w:lvlText w:val="(%2)"/>
      <w:numFmt w:val="lowerLetter"/>
      <w:start w:val="3"/>
    </w:lvl>
  </w:abstractNum>
  <w:abstractNum w:abstractNumId="192">
    <w:nsid w:val="2C7C62C2"/>
    <w:multiLevelType w:val="hybridMultilevel"/>
    <w:lvl w:ilvl="0">
      <w:lvlJc w:val="left"/>
      <w:lvlText w:val="(%1)"/>
      <w:numFmt w:val="lowerLetter"/>
      <w:start w:val="35"/>
    </w:lvl>
    <w:lvl w:ilvl="1">
      <w:lvlJc w:val="left"/>
      <w:lvlText w:val="(%2)"/>
      <w:numFmt w:val="lowerLetter"/>
      <w:start w:val="7"/>
    </w:lvl>
  </w:abstractNum>
  <w:abstractNum w:abstractNumId="193">
    <w:nsid w:val="1A54D7BC"/>
    <w:multiLevelType w:val="hybridMultilevel"/>
    <w:lvl w:ilvl="0">
      <w:lvlJc w:val="left"/>
      <w:lvlText w:val="(%1)"/>
      <w:numFmt w:val="lowerLetter"/>
      <w:start w:val="9"/>
    </w:lvl>
  </w:abstractNum>
  <w:abstractNum w:abstractNumId="194">
    <w:nsid w:val="42E57EF7"/>
    <w:multiLevelType w:val="hybridMultilevel"/>
    <w:lvl w:ilvl="0">
      <w:lvlJc w:val="left"/>
      <w:lvlText w:val="(%1)"/>
      <w:numFmt w:val="lowerLetter"/>
      <w:start w:val="1"/>
    </w:lvl>
  </w:abstractNum>
  <w:abstractNum w:abstractNumId="195">
    <w:nsid w:val="33537CED"/>
    <w:multiLevelType w:val="hybridMultilevel"/>
    <w:lvl w:ilvl="0">
      <w:lvlJc w:val="left"/>
      <w:lvlText w:val="(%1)"/>
      <w:numFmt w:val="lowerLetter"/>
      <w:start w:val="3"/>
    </w:lvl>
  </w:abstractNum>
  <w:abstractNum w:abstractNumId="196">
    <w:nsid w:val="27514ADE"/>
    <w:multiLevelType w:val="hybridMultilevel"/>
    <w:lvl w:ilvl="0">
      <w:lvlJc w:val="left"/>
      <w:lvlText w:val="(%1)"/>
      <w:numFmt w:val="lowerLetter"/>
      <w:start w:val="5"/>
    </w:lvl>
    <w:lvl w:ilvl="1">
      <w:lvlJc w:val="left"/>
      <w:lvlText w:val="(%2)"/>
      <w:numFmt w:val="lowerLetter"/>
      <w:start w:val="35"/>
    </w:lvl>
  </w:abstractNum>
  <w:abstractNum w:abstractNumId="197">
    <w:nsid w:val="57071613"/>
    <w:multiLevelType w:val="hybridMultilevel"/>
    <w:lvl w:ilvl="0">
      <w:lvlJc w:val="left"/>
      <w:lvlText w:val="(%1)"/>
      <w:numFmt w:val="lowerRoman"/>
      <w:start w:val="2"/>
    </w:lvl>
    <w:lvl w:ilvl="1">
      <w:lvlJc w:val="left"/>
      <w:lvlText w:val="(%2)"/>
      <w:numFmt w:val="lowerRoman"/>
      <w:start w:val="3"/>
    </w:lvl>
  </w:abstractNum>
  <w:abstractNum w:abstractNumId="198">
    <w:nsid w:val="5293BFEF"/>
    <w:multiLevelType w:val="hybridMultilevel"/>
    <w:lvl w:ilvl="0">
      <w:lvlJc w:val="left"/>
      <w:lvlText w:val="(%1)"/>
      <w:numFmt w:val="lowerLetter"/>
      <w:start w:val="7"/>
    </w:lvl>
  </w:abstractNum>
  <w:abstractNum w:abstractNumId="199">
    <w:nsid w:val="38BF53E5"/>
    <w:multiLevelType w:val="hybridMultilevel"/>
    <w:lvl w:ilvl="0">
      <w:lvlJc w:val="left"/>
      <w:lvlText w:val="(%1)"/>
      <w:numFmt w:val="lowerLetter"/>
      <w:start w:val="1"/>
    </w:lvl>
  </w:abstractNum>
  <w:abstractNum w:abstractNumId="200">
    <w:nsid w:val="226F5320"/>
    <w:multiLevelType w:val="hybridMultilevel"/>
    <w:lvl w:ilvl="0">
      <w:lvlJc w:val="left"/>
      <w:lvlText w:val="(%1)"/>
      <w:numFmt w:val="lowerRoman"/>
      <w:start w:val="1"/>
    </w:lvl>
  </w:abstractNum>
  <w:abstractNum w:abstractNumId="201">
    <w:nsid w:val="5A0201C7"/>
    <w:multiLevelType w:val="hybridMultilevel"/>
    <w:lvl w:ilvl="0">
      <w:lvlJc w:val="left"/>
      <w:lvlText w:val="(%1)"/>
      <w:numFmt w:val="lowerLetter"/>
      <w:start w:val="2"/>
    </w:lvl>
  </w:abstractNum>
  <w:abstractNum w:abstractNumId="202">
    <w:nsid w:val="2A9C34E2"/>
    <w:multiLevelType w:val="hybridMultilevel"/>
    <w:lvl w:ilvl="0">
      <w:lvlJc w:val="left"/>
      <w:lvlText w:val="(%1)"/>
      <w:numFmt w:val="lowerLetter"/>
      <w:start w:val="3"/>
    </w:lvl>
  </w:abstractNum>
  <w:abstractNum w:abstractNumId="203">
    <w:nsid w:val="1B7585AB"/>
    <w:multiLevelType w:val="hybridMultilevel"/>
    <w:lvl w:ilvl="0">
      <w:lvlJc w:val="left"/>
      <w:lvlText w:val="(%1)"/>
      <w:numFmt w:val="lowerLetter"/>
      <w:start w:val="4"/>
    </w:lvl>
  </w:abstractNum>
  <w:abstractNum w:abstractNumId="204">
    <w:nsid w:val="612DBDDD"/>
    <w:multiLevelType w:val="hybridMultilevel"/>
    <w:lvl w:ilvl="0">
      <w:lvlJc w:val="left"/>
      <w:lvlText w:val="(%1)"/>
      <w:numFmt w:val="lowerLetter"/>
      <w:start w:val="1"/>
    </w:lvl>
  </w:abstractNum>
  <w:abstractNum w:abstractNumId="205">
    <w:nsid w:val="2109CDA4"/>
    <w:multiLevelType w:val="hybridMultilevel"/>
    <w:lvl w:ilvl="0">
      <w:lvlJc w:val="left"/>
      <w:lvlText w:val="(%1)"/>
      <w:numFmt w:val="decimal"/>
      <w:start w:val="2"/>
    </w:lvl>
  </w:abstractNum>
  <w:abstractNum w:abstractNumId="206">
    <w:nsid w:val="577F5A4D"/>
    <w:multiLevelType w:val="hybridMultilevel"/>
    <w:lvl w:ilvl="0">
      <w:lvlJc w:val="left"/>
      <w:lvlText w:val="(%1)"/>
      <w:numFmt w:val="lowerLetter"/>
      <w:start w:val="1"/>
    </w:lvl>
  </w:abstractNum>
  <w:abstractNum w:abstractNumId="207">
    <w:nsid w:val="2121A81"/>
    <w:multiLevelType w:val="hybridMultilevel"/>
    <w:lvl w:ilvl="0">
      <w:lvlJc w:val="left"/>
      <w:lvlText w:val="(%1)"/>
      <w:numFmt w:val="lowerLetter"/>
      <w:start w:val="2"/>
    </w:lvl>
  </w:abstractNum>
  <w:abstractNum w:abstractNumId="208">
    <w:nsid w:val="6C2CFC88"/>
    <w:multiLevelType w:val="hybridMultilevel"/>
    <w:lvl w:ilvl="0">
      <w:lvlJc w:val="left"/>
      <w:lvlText w:val="(%1)"/>
      <w:numFmt w:val="lowerLetter"/>
      <w:start w:val="5"/>
    </w:lvl>
  </w:abstractNum>
  <w:abstractNum w:abstractNumId="209">
    <w:nsid w:val="6D1BCF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0">
    <w:nsid w:val="4CE5CA53"/>
    <w:multiLevelType w:val="hybridMultilevel"/>
    <w:lvl w:ilvl="0">
      <w:lvlJc w:val="left"/>
      <w:lvlText w:val="%1"/>
      <w:numFmt w:val="lowerRoman"/>
      <w:start w:val="1"/>
    </w:lvl>
    <w:lvl w:ilvl="1">
      <w:lvlJc w:val="left"/>
      <w:lvlText w:val="(%2)"/>
      <w:numFmt w:val="upperLetter"/>
      <w:start w:val="2"/>
    </w:lvl>
  </w:abstractNum>
  <w:abstractNum w:abstractNumId="211">
    <w:nsid w:val="29262D1A"/>
    <w:multiLevelType w:val="hybridMultilevel"/>
    <w:lvl w:ilvl="0">
      <w:lvlJc w:val="left"/>
      <w:lvlText w:val="(%1)"/>
      <w:numFmt w:val="lowerRoman"/>
      <w:start w:val="2"/>
    </w:lvl>
    <w:lvl w:ilvl="1">
      <w:lvlJc w:val="left"/>
      <w:lvlText w:val="(%2)"/>
      <w:numFmt w:val="upperLetter"/>
      <w:start w:val="1"/>
    </w:lvl>
  </w:abstractNum>
  <w:abstractNum w:abstractNumId="212">
    <w:nsid w:val="557FB7E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213">
    <w:nsid w:val="436F2BEB"/>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214">
    <w:nsid w:val="6C8B4466"/>
    <w:multiLevelType w:val="hybridMultilevel"/>
    <w:lvl w:ilvl="0">
      <w:lvlJc w:val="left"/>
      <w:lvlText w:val="(%1)"/>
      <w:numFmt w:val="lowerRoman"/>
      <w:start w:val="8"/>
    </w:lvl>
    <w:lvl w:ilvl="1">
      <w:lvlJc w:val="left"/>
      <w:lvlText w:val="%2"/>
      <w:numFmt w:val="lowerRoman"/>
      <w:start w:val="1"/>
    </w:lvl>
    <w:lvl w:ilvl="2">
      <w:lvlJc w:val="left"/>
      <w:lvlText w:val="%3"/>
      <w:numFmt w:val="upperLetter"/>
      <w:start w:val="1"/>
    </w:lvl>
  </w:abstractNum>
  <w:abstractNum w:abstractNumId="215">
    <w:nsid w:val="2006E424"/>
    <w:multiLevelType w:val="hybridMultilevel"/>
    <w:lvl w:ilvl="0">
      <w:lvlJc w:val="left"/>
      <w:lvlText w:val="%1"/>
      <w:numFmt w:val="lowerLetter"/>
      <w:start w:val="1"/>
    </w:lvl>
    <w:lvl w:ilvl="1">
      <w:lvlJc w:val="left"/>
      <w:lvlText w:val="(%2)"/>
      <w:numFmt w:val="lowerLetter"/>
      <w:start w:val="3"/>
    </w:lvl>
  </w:abstractNum>
  <w:abstractNum w:abstractNumId="216">
    <w:nsid w:val="20CC134C"/>
    <w:multiLevelType w:val="hybridMultilevel"/>
    <w:lvl w:ilvl="0">
      <w:lvlJc w:val="left"/>
      <w:lvlText w:val="(%1)"/>
      <w:numFmt w:val="lowerLetter"/>
      <w:start w:val="5"/>
    </w:lvl>
    <w:lvl w:ilvl="1">
      <w:lvlJc w:val="left"/>
      <w:lvlText w:val="%2"/>
      <w:numFmt w:val="lowerLetter"/>
      <w:start w:val="1"/>
    </w:lvl>
  </w:abstractNum>
  <w:abstractNum w:abstractNumId="217">
    <w:nsid w:val="95FC93B"/>
    <w:multiLevelType w:val="hybridMultilevel"/>
    <w:lvl w:ilvl="0">
      <w:lvlJc w:val="left"/>
      <w:lvlText w:val="(%1)"/>
      <w:numFmt w:val="lowerLetter"/>
      <w:start w:val="6"/>
    </w:lvl>
  </w:abstractNum>
  <w:abstractNum w:abstractNumId="218">
    <w:nsid w:val="41D74679"/>
    <w:multiLevelType w:val="hybridMultilevel"/>
    <w:lvl w:ilvl="0">
      <w:lvlJc w:val="left"/>
      <w:lvlText w:val="(%1)"/>
      <w:numFmt w:val="lowerLetter"/>
      <w:start w:val="1"/>
    </w:lvl>
  </w:abstractNum>
  <w:abstractNum w:abstractNumId="219">
    <w:nsid w:val="71E5621E"/>
    <w:multiLevelType w:val="hybridMultilevel"/>
    <w:lvl w:ilvl="0">
      <w:lvlJc w:val="left"/>
      <w:lvlText w:val="(%1)"/>
      <w:numFmt w:val="lowerLetter"/>
      <w:start w:val="1"/>
    </w:lvl>
  </w:abstractNum>
  <w:abstractNum w:abstractNumId="220">
    <w:nsid w:val="4E42B6A8"/>
    <w:multiLevelType w:val="hybridMultilevel"/>
    <w:lvl w:ilvl="0">
      <w:lvlJc w:val="left"/>
      <w:lvlText w:val="(%1)"/>
      <w:numFmt w:val="lowerLetter"/>
      <w:start w:val="2"/>
    </w:lvl>
  </w:abstractNum>
  <w:abstractNum w:abstractNumId="221">
    <w:nsid w:val="43F8E1AC"/>
    <w:multiLevelType w:val="hybridMultilevel"/>
    <w:lvl w:ilvl="0">
      <w:lvlJc w:val="left"/>
      <w:lvlText w:val="(%1)"/>
      <w:numFmt w:val="lowerRoman"/>
      <w:start w:val="1"/>
    </w:lvl>
  </w:abstractNum>
  <w:abstractNum w:abstractNumId="222">
    <w:nsid w:val="69215DFB"/>
    <w:multiLevelType w:val="hybridMultilevel"/>
    <w:lvl w:ilvl="0">
      <w:lvlJc w:val="left"/>
      <w:lvlText w:val="(%1)"/>
      <w:numFmt w:val="decimal"/>
      <w:start w:val="1"/>
    </w:lvl>
  </w:abstractNum>
  <w:abstractNum w:abstractNumId="223">
    <w:nsid w:val="7ABF196A"/>
    <w:multiLevelType w:val="hybridMultilevel"/>
    <w:lvl w:ilvl="0">
      <w:lvlJc w:val="left"/>
      <w:lvlText w:val="%1"/>
      <w:numFmt w:val="upperLetter"/>
      <w:start w:val="1"/>
    </w:lvl>
    <w:lvl w:ilvl="1">
      <w:lvlJc w:val="left"/>
      <w:lvlText w:val="(%2)"/>
      <w:numFmt w:val="lowerLetter"/>
      <w:start w:val="1"/>
    </w:lvl>
  </w:abstractNum>
  <w:abstractNum w:abstractNumId="224">
    <w:nsid w:val="5E4DB968"/>
    <w:multiLevelType w:val="hybridMultilevel"/>
    <w:lvl w:ilvl="0">
      <w:lvlJc w:val="left"/>
      <w:lvlText w:val="(%1)"/>
      <w:numFmt w:val="upperLetter"/>
      <w:start w:val="1"/>
    </w:lvl>
    <w:lvl w:ilvl="1">
      <w:lvlJc w:val="left"/>
      <w:lvlText w:val="(%2)"/>
      <w:numFmt w:val="lowerLetter"/>
      <w:start w:val="3"/>
    </w:lvl>
  </w:abstractNum>
  <w:abstractNum w:abstractNumId="225">
    <w:nsid w:val="2C06DCF3"/>
    <w:multiLevelType w:val="hybridMultilevel"/>
    <w:lvl w:ilvl="0">
      <w:lvlJc w:val="left"/>
      <w:lvlText w:val="(%1)"/>
      <w:numFmt w:val="lowerLetter"/>
      <w:start w:val="2"/>
    </w:lvl>
  </w:abstractNum>
  <w:abstractNum w:abstractNumId="226">
    <w:nsid w:val="2E129658"/>
    <w:multiLevelType w:val="hybridMultilevel"/>
    <w:lvl w:ilvl="0">
      <w:lvlJc w:val="left"/>
      <w:lvlText w:val="(%1)"/>
      <w:numFmt w:val="lowerLetter"/>
      <w:start w:val="1"/>
    </w:lvl>
  </w:abstractNum>
  <w:abstractNum w:abstractNumId="227">
    <w:nsid w:val="59F0446"/>
    <w:multiLevelType w:val="hybridMultilevel"/>
    <w:lvl w:ilvl="0">
      <w:lvlJc w:val="left"/>
      <w:lvlText w:val="(%1)"/>
      <w:numFmt w:val="lowerRoman"/>
      <w:start w:val="2"/>
    </w:lvl>
  </w:abstractNum>
  <w:abstractNum w:abstractNumId="228">
    <w:nsid w:val="30DF306"/>
    <w:multiLevelType w:val="hybridMultilevel"/>
    <w:lvl w:ilvl="0">
      <w:lvlJc w:val="left"/>
      <w:lvlText w:val="(%1)"/>
      <w:numFmt w:val="lowerLetter"/>
      <w:start w:val="25"/>
    </w:lvl>
  </w:abstractNum>
  <w:abstractNum w:abstractNumId="229">
    <w:nsid w:val="A65647"/>
    <w:multiLevelType w:val="hybridMultilevel"/>
    <w:lvl w:ilvl="0">
      <w:lvlJc w:val="left"/>
      <w:lvlText w:val="(%1)"/>
      <w:numFmt w:val="lowerLetter"/>
      <w:start w:val="1"/>
    </w:lvl>
  </w:abstractNum>
  <w:abstractNum w:abstractNumId="230">
    <w:nsid w:val="3E5E582B"/>
    <w:multiLevelType w:val="hybridMultilevel"/>
    <w:lvl w:ilvl="0">
      <w:lvlJc w:val="left"/>
      <w:lvlText w:val="(%1)"/>
      <w:numFmt w:val="lowerLetter"/>
      <w:start w:val="7"/>
    </w:lvl>
  </w:abstractNum>
  <w:abstractNum w:abstractNumId="231">
    <w:nsid w:val="257D4626"/>
    <w:multiLevelType w:val="hybridMultilevel"/>
    <w:lvl w:ilvl="0">
      <w:lvlJc w:val="left"/>
      <w:lvlText w:val="(%1)"/>
      <w:numFmt w:val="lowerLetter"/>
      <w:start w:val="1"/>
    </w:lvl>
  </w:abstractNum>
  <w:abstractNum w:abstractNumId="232">
    <w:nsid w:val="5AA8580E"/>
    <w:multiLevelType w:val="hybridMultilevel"/>
    <w:lvl w:ilvl="0">
      <w:lvlJc w:val="left"/>
      <w:lvlText w:val="(%1)"/>
      <w:numFmt w:val="lowerLetter"/>
      <w:start w:val="2"/>
    </w:lvl>
  </w:abstractNum>
  <w:abstractNum w:abstractNumId="233">
    <w:nsid w:val="68FA8D0D"/>
    <w:multiLevelType w:val="hybridMultilevel"/>
    <w:lvl w:ilvl="0">
      <w:lvlJc w:val="left"/>
      <w:lvlText w:val="(%1)"/>
      <w:numFmt w:val="lowerLetter"/>
      <w:start w:val="1"/>
    </w:lvl>
  </w:abstractNum>
  <w:abstractNum w:abstractNumId="234">
    <w:nsid w:val="40F2CBD2"/>
    <w:multiLevelType w:val="hybridMultilevel"/>
    <w:lvl w:ilvl="0">
      <w:lvlJc w:val="left"/>
      <w:lvlText w:val="(%1)"/>
      <w:numFmt w:val="lowerRoman"/>
      <w:start w:val="1"/>
    </w:lvl>
  </w:abstractNum>
  <w:abstractNum w:abstractNumId="235">
    <w:nsid w:val="3BD615EB"/>
    <w:multiLevelType w:val="hybridMultilevel"/>
    <w:lvl w:ilvl="0">
      <w:lvlJc w:val="left"/>
      <w:lvlText w:val="(%1)"/>
      <w:numFmt w:val="lowerRoman"/>
      <w:start w:val="7"/>
    </w:lvl>
  </w:abstractNum>
  <w:abstractNum w:abstractNumId="236">
    <w:nsid w:val="A045AB2"/>
    <w:multiLevelType w:val="hybridMultilevel"/>
    <w:lvl w:ilvl="0">
      <w:lvlJc w:val="left"/>
      <w:lvlText w:val="(%1)"/>
      <w:numFmt w:val="lowerLetter"/>
      <w:start w:val="1"/>
    </w:lvl>
  </w:abstractNum>
  <w:abstractNum w:abstractNumId="237">
    <w:nsid w:val="1872261F"/>
    <w:multiLevelType w:val="hybridMultilevel"/>
    <w:lvl w:ilvl="0">
      <w:lvlJc w:val="left"/>
      <w:lvlText w:val="(%1)"/>
      <w:numFmt w:val="lowerLetter"/>
      <w:start w:val="1"/>
    </w:lvl>
  </w:abstractNum>
  <w:abstractNum w:abstractNumId="238">
    <w:nsid w:val="3DE8306C"/>
    <w:multiLevelType w:val="hybridMultilevel"/>
    <w:lvl w:ilvl="0">
      <w:lvlJc w:val="left"/>
      <w:lvlText w:val="(%1)"/>
      <w:numFmt w:val="lowerLetter"/>
      <w:start w:val="1"/>
    </w:lvl>
  </w:abstractNum>
  <w:abstractNum w:abstractNumId="239">
    <w:nsid w:val="7631573A"/>
    <w:multiLevelType w:val="hybridMultilevel"/>
    <w:lvl w:ilvl="0">
      <w:lvlJc w:val="left"/>
      <w:lvlText w:val="(%1)"/>
      <w:numFmt w:val="lowerLetter"/>
      <w:start w:val="1"/>
    </w:lvl>
  </w:abstractNum>
  <w:abstractNum w:abstractNumId="240">
    <w:nsid w:val="58DF53B"/>
    <w:multiLevelType w:val="hybridMultilevel"/>
    <w:lvl w:ilvl="0">
      <w:lvlJc w:val="left"/>
      <w:lvlText w:val="(%1)"/>
      <w:numFmt w:val="lowerLetter"/>
      <w:start w:val="2"/>
    </w:lvl>
  </w:abstractNum>
  <w:abstractNum w:abstractNumId="241">
    <w:nsid w:val="ACDFAC0"/>
    <w:multiLevelType w:val="hybridMultilevel"/>
    <w:lvl w:ilvl="0">
      <w:lvlJc w:val="left"/>
      <w:lvlText w:val="(%1)"/>
      <w:numFmt w:val="lowerLetter"/>
      <w:start w:val="4"/>
    </w:lvl>
  </w:abstractNum>
  <w:abstractNum w:abstractNumId="242">
    <w:nsid w:val="1F578454"/>
    <w:multiLevelType w:val="hybridMultilevel"/>
    <w:lvl w:ilvl="0">
      <w:lvlJc w:val="left"/>
      <w:lvlText w:val="(%1)"/>
      <w:numFmt w:val="lowerLetter"/>
      <w:start w:val="1"/>
    </w:lvl>
  </w:abstractNum>
  <w:abstractNum w:abstractNumId="243">
    <w:nsid w:val="5B0DAD2A"/>
    <w:multiLevelType w:val="hybridMultilevel"/>
    <w:lvl w:ilvl="0">
      <w:lvlJc w:val="left"/>
      <w:lvlText w:val="(%1)"/>
      <w:numFmt w:val="lowerLetter"/>
      <w:start w:val="1"/>
    </w:lvl>
    <w:lvl w:ilvl="1">
      <w:lvlJc w:val="left"/>
      <w:lvlText w:val="(%2)"/>
      <w:numFmt w:val="lowerRoman"/>
      <w:start w:val="1"/>
    </w:lvl>
  </w:abstractNum>
  <w:abstractNum w:abstractNumId="244">
    <w:nsid w:val="4E3D26AB"/>
    <w:multiLevelType w:val="hybridMultilevel"/>
    <w:lvl w:ilvl="0">
      <w:lvlJc w:val="left"/>
      <w:lvlText w:val="(%1)"/>
      <w:numFmt w:val="lowerLetter"/>
      <w:start w:val="2"/>
    </w:lvl>
  </w:abstractNum>
  <w:abstractNum w:abstractNumId="245">
    <w:nsid w:val="BE2C8BA"/>
    <w:multiLevelType w:val="hybridMultilevel"/>
    <w:lvl w:ilvl="0">
      <w:lvlJc w:val="left"/>
      <w:lvlText w:val="(%1)"/>
      <w:numFmt w:val="lowerLetter"/>
      <w:start w:val="3"/>
    </w:lvl>
  </w:abstractNum>
  <w:abstractNum w:abstractNumId="246">
    <w:nsid w:val="7B14914E"/>
    <w:multiLevelType w:val="hybridMultilevel"/>
    <w:lvl w:ilvl="0">
      <w:lvlJc w:val="left"/>
      <w:lvlText w:val="(%1)"/>
      <w:numFmt w:val="lowerLetter"/>
      <w:start w:val="1"/>
    </w:lvl>
    <w:lvl w:ilvl="1">
      <w:lvlJc w:val="left"/>
      <w:lvlText w:val="(%2)"/>
      <w:numFmt w:val="lowerRoman"/>
      <w:start w:val="1"/>
    </w:lvl>
  </w:abstractNum>
  <w:abstractNum w:abstractNumId="247">
    <w:nsid w:val="6F0939F8"/>
    <w:multiLevelType w:val="hybridMultilevel"/>
    <w:lvl w:ilvl="0">
      <w:lvlJc w:val="left"/>
      <w:lvlText w:val="(%1)"/>
      <w:numFmt w:val="lowerLetter"/>
      <w:start w:val="4"/>
    </w:lvl>
    <w:lvl w:ilvl="1">
      <w:lvlJc w:val="left"/>
      <w:lvlText w:val="(%2)"/>
      <w:numFmt w:val="lowerRoman"/>
      <w:start w:val="1"/>
    </w:lvl>
  </w:abstractNum>
  <w:abstractNum w:abstractNumId="248">
    <w:nsid w:val="154291F6"/>
    <w:multiLevelType w:val="hybridMultilevel"/>
    <w:lvl w:ilvl="0">
      <w:lvlJc w:val="left"/>
      <w:lvlText w:val="(%1)"/>
      <w:numFmt w:val="upperLetter"/>
      <w:start w:val="1"/>
    </w:lvl>
  </w:abstractNum>
  <w:abstractNum w:abstractNumId="249">
    <w:nsid w:val="3CEBD7C7"/>
    <w:multiLevelType w:val="hybridMultilevel"/>
    <w:lvl w:ilvl="0">
      <w:lvlJc w:val="left"/>
      <w:lvlText w:val="(%1)"/>
      <w:numFmt w:val="upperLetter"/>
      <w:start w:val="9"/>
    </w:lvl>
  </w:abstractNum>
  <w:abstractNum w:abstractNumId="250">
    <w:nsid w:val="60EE9C16"/>
    <w:multiLevelType w:val="hybridMultilevel"/>
    <w:lvl w:ilvl="0">
      <w:lvlJc w:val="left"/>
      <w:lvlText w:val="(%1)"/>
      <w:numFmt w:val="upperLetter"/>
      <w:start w:val="61"/>
    </w:lvl>
  </w:abstractNum>
  <w:abstractNum w:abstractNumId="251">
    <w:nsid w:val="6385489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52">
    <w:nsid w:val="E4B97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53">
    <w:nsid w:val="4A0FFA11"/>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54">
    <w:nsid w:val="5E446208"/>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9"/>
    </w:lvl>
  </w:abstractNum>
  <w:abstractNum w:abstractNumId="255">
    <w:nsid w:val="5F3272D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256">
    <w:nsid w:val="7616D704"/>
    <w:multiLevelType w:val="hybridMultilevel"/>
    <w:lvl w:ilvl="0">
      <w:lvlJc w:val="left"/>
      <w:lvlText w:val="(%1)"/>
      <w:numFmt w:val="lowerRoman"/>
      <w:start w:val="3"/>
    </w:lvl>
    <w:lvl w:ilvl="1">
      <w:lvlJc w:val="left"/>
      <w:lvlText w:val="(%2)"/>
      <w:numFmt w:val="upperLetter"/>
      <w:start w:val="1"/>
    </w:lvl>
  </w:abstractNum>
  <w:abstractNum w:abstractNumId="257">
    <w:nsid w:val="C56F86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58">
    <w:nsid w:val="64D17722"/>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259">
    <w:nsid w:val="7924CA0A"/>
    <w:multiLevelType w:val="hybridMultilevel"/>
    <w:lvl w:ilvl="0">
      <w:lvlJc w:val="left"/>
      <w:lvlText w:val="%1"/>
      <w:numFmt w:val="lowerLetter"/>
      <w:start w:val="1"/>
    </w:lvl>
    <w:lvl w:ilvl="1">
      <w:lvlJc w:val="left"/>
      <w:lvlText w:val="(%2)"/>
      <w:numFmt w:val="lowerRoman"/>
      <w:start w:val="1"/>
    </w:lvl>
  </w:abstractNum>
  <w:abstractNum w:abstractNumId="260">
    <w:nsid w:val="CFD4EA7"/>
    <w:multiLevelType w:val="hybridMultilevel"/>
    <w:lvl w:ilvl="0">
      <w:lvlJc w:val="left"/>
      <w:lvlText w:val="(%1)"/>
      <w:numFmt w:val="lowerLetter"/>
      <w:start w:val="12"/>
    </w:lvl>
    <w:lvl w:ilvl="1">
      <w:lvlJc w:val="left"/>
      <w:lvlText w:val="%2"/>
      <w:numFmt w:val="lowerRoman"/>
      <w:start w:val="1"/>
    </w:lvl>
  </w:abstractNum>
  <w:abstractNum w:abstractNumId="261">
    <w:nsid w:val="232FCF4D"/>
    <w:multiLevelType w:val="hybridMultilevel"/>
    <w:lvl w:ilvl="0">
      <w:lvlJc w:val="left"/>
      <w:lvlText w:val="(%1)"/>
      <w:numFmt w:val="lowerLetter"/>
      <w:start w:val="1"/>
    </w:lvl>
  </w:abstractNum>
  <w:abstractNum w:abstractNumId="262">
    <w:nsid w:val="1EA21031"/>
    <w:multiLevelType w:val="hybridMultilevel"/>
    <w:lvl w:ilvl="0">
      <w:lvlJc w:val="left"/>
      <w:lvlText w:val="(%1)"/>
      <w:numFmt w:val="lowerLetter"/>
      <w:start w:val="2"/>
    </w:lvl>
  </w:abstractNum>
  <w:abstractNum w:abstractNumId="263">
    <w:nsid w:val="67A5A6B5"/>
    <w:multiLevelType w:val="hybridMultilevel"/>
    <w:lvl w:ilvl="0">
      <w:lvlJc w:val="left"/>
      <w:lvlText w:val="(%1)"/>
      <w:numFmt w:val="lowerLetter"/>
      <w:start w:val="5"/>
    </w:lvl>
  </w:abstractNum>
  <w:abstractNum w:abstractNumId="264">
    <w:nsid w:val="C2A5C5B"/>
    <w:multiLevelType w:val="hybridMultilevel"/>
    <w:lvl w:ilvl="0">
      <w:lvlJc w:val="left"/>
      <w:lvlText w:val="(%1)"/>
      <w:numFmt w:val="lowerLetter"/>
      <w:start w:val="1"/>
    </w:lvl>
  </w:abstractNum>
  <w:abstractNum w:abstractNumId="265">
    <w:nsid w:val="5F94DC03"/>
    <w:multiLevelType w:val="hybridMultilevel"/>
    <w:lvl w:ilvl="0">
      <w:lvlJc w:val="left"/>
      <w:lvlText w:val="(%1)"/>
      <w:numFmt w:val="lowerRoman"/>
      <w:start w:val="1"/>
    </w:lvl>
  </w:abstractNum>
  <w:abstractNum w:abstractNumId="266">
    <w:nsid w:val="237BBCA0"/>
    <w:multiLevelType w:val="hybridMultilevel"/>
    <w:lvl w:ilvl="0">
      <w:lvlJc w:val="left"/>
      <w:lvlText w:val="(%1)"/>
      <w:numFmt w:val="lowerLetter"/>
      <w:start w:val="1"/>
    </w:lvl>
  </w:abstractNum>
  <w:abstractNum w:abstractNumId="267">
    <w:nsid w:val="162EB70D"/>
    <w:multiLevelType w:val="hybridMultilevel"/>
    <w:lvl w:ilvl="0">
      <w:lvlJc w:val="left"/>
      <w:lvlText w:val="(%1)"/>
      <w:numFmt w:val="lowerLetter"/>
      <w:start w:val="1"/>
    </w:lvl>
  </w:abstractNum>
  <w:abstractNum w:abstractNumId="268">
    <w:nsid w:val="78070222"/>
    <w:multiLevelType w:val="hybridMultilevel"/>
    <w:lvl w:ilvl="0">
      <w:lvlJc w:val="left"/>
      <w:lvlText w:val="(%1)"/>
      <w:numFmt w:val="lowerLetter"/>
      <w:start w:val="2"/>
    </w:lvl>
  </w:abstractNum>
  <w:abstractNum w:abstractNumId="269">
    <w:nsid w:val="6163ED0D"/>
    <w:multiLevelType w:val="hybridMultilevel"/>
    <w:lvl w:ilvl="0">
      <w:lvlJc w:val="left"/>
      <w:lvlText w:val="(%1)"/>
      <w:numFmt w:val="lowerLetter"/>
      <w:start w:val="1"/>
    </w:lvl>
  </w:abstractNum>
  <w:abstractNum w:abstractNumId="270">
    <w:nsid w:val="C600E47"/>
    <w:multiLevelType w:val="hybridMultilevel"/>
    <w:lvl w:ilvl="0">
      <w:lvlJc w:val="left"/>
      <w:lvlText w:val="(%1)"/>
      <w:numFmt w:val="lowerLetter"/>
      <w:start w:val="1"/>
    </w:lvl>
  </w:abstractNum>
  <w:abstractNum w:abstractNumId="271">
    <w:nsid w:val="7D94F75D"/>
    <w:multiLevelType w:val="hybridMultilevel"/>
    <w:lvl w:ilvl="0">
      <w:lvlJc w:val="left"/>
      <w:lvlText w:val="(%1)"/>
      <w:numFmt w:val="lowerLetter"/>
      <w:start w:val="1"/>
    </w:lvl>
  </w:abstractNum>
  <w:abstractNum w:abstractNumId="272">
    <w:nsid w:val="6C31E7CD"/>
    <w:multiLevelType w:val="hybridMultilevel"/>
    <w:lvl w:ilvl="0">
      <w:lvlJc w:val="left"/>
      <w:lvlText w:val="(%1)"/>
      <w:numFmt w:val="lowerLetter"/>
      <w:start w:val="1"/>
    </w:lvl>
  </w:abstractNum>
  <w:abstractNum w:abstractNumId="273">
    <w:nsid w:val="2BB7929B"/>
    <w:multiLevelType w:val="hybridMultilevel"/>
    <w:lvl w:ilvl="0">
      <w:lvlJc w:val="left"/>
      <w:lvlText w:val="(%1)"/>
      <w:numFmt w:val="lowerLetter"/>
      <w:start w:val="3"/>
    </w:lvl>
  </w:abstractNum>
  <w:abstractNum w:abstractNumId="274">
    <w:nsid w:val="58A2A487"/>
    <w:multiLevelType w:val="hybridMultilevel"/>
    <w:lvl w:ilvl="0">
      <w:lvlJc w:val="left"/>
      <w:lvlText w:val="(%1)"/>
      <w:numFmt w:val="lowerLetter"/>
      <w:start w:val="1"/>
    </w:lvl>
  </w:abstractNum>
  <w:abstractNum w:abstractNumId="275">
    <w:nsid w:val="3A6F0E78"/>
    <w:multiLevelType w:val="hybridMultilevel"/>
    <w:lvl w:ilvl="0">
      <w:lvlJc w:val="left"/>
      <w:lvlText w:val="(%1)"/>
      <w:numFmt w:val="lowerLetter"/>
      <w:start w:val="5"/>
    </w:lvl>
  </w:abstractNum>
  <w:abstractNum w:abstractNumId="276">
    <w:nsid w:val="379A5B56"/>
    <w:multiLevelType w:val="hybridMultilevel"/>
    <w:lvl w:ilvl="0">
      <w:lvlJc w:val="left"/>
      <w:lvlText w:val="(%1)"/>
      <w:numFmt w:val="lowerLetter"/>
      <w:start w:val="1"/>
    </w:lvl>
  </w:abstractNum>
  <w:abstractNum w:abstractNumId="277">
    <w:nsid w:val="53B735D5"/>
    <w:multiLevelType w:val="hybridMultilevel"/>
    <w:lvl w:ilvl="0">
      <w:lvlJc w:val="left"/>
      <w:lvlText w:val="(%1)"/>
      <w:numFmt w:val="lowerLetter"/>
      <w:start w:val="2"/>
    </w:lvl>
  </w:abstractNum>
  <w:abstractNum w:abstractNumId="278">
    <w:nsid w:val="29784870"/>
    <w:multiLevelType w:val="hybridMultilevel"/>
    <w:lvl w:ilvl="0">
      <w:lvlJc w:val="left"/>
      <w:lvlText w:val="(%1)"/>
      <w:numFmt w:val="lowerLetter"/>
      <w:start w:val="1"/>
    </w:lvl>
  </w:abstractNum>
  <w:abstractNum w:abstractNumId="279">
    <w:nsid w:val="4CDCED4C"/>
    <w:multiLevelType w:val="hybridMultilevel"/>
    <w:lvl w:ilvl="0">
      <w:lvlJc w:val="left"/>
      <w:lvlText w:val="(%1)"/>
      <w:numFmt w:val="lowerLetter"/>
      <w:start w:val="1"/>
    </w:lvl>
  </w:abstractNum>
  <w:abstractNum w:abstractNumId="280">
    <w:nsid w:val="10A30D9C"/>
    <w:multiLevelType w:val="hybridMultilevel"/>
    <w:lvl w:ilvl="0">
      <w:lvlJc w:val="left"/>
      <w:lvlText w:val="(%1)"/>
      <w:numFmt w:val="lowerLetter"/>
      <w:start w:val="2"/>
    </w:lvl>
    <w:lvl w:ilvl="1">
      <w:lvlJc w:val="left"/>
      <w:lvlText w:val="(%2)"/>
      <w:numFmt w:val="lowerRoman"/>
      <w:start w:val="1"/>
    </w:lvl>
  </w:abstractNum>
  <w:abstractNum w:abstractNumId="281">
    <w:nsid w:val="A66E486"/>
    <w:multiLevelType w:val="hybridMultilevel"/>
    <w:lvl w:ilvl="0">
      <w:lvlJc w:val="left"/>
      <w:lvlText w:val="(%1)"/>
      <w:numFmt w:val="lowerLetter"/>
      <w:start w:val="3"/>
    </w:lvl>
  </w:abstractNum>
  <w:abstractNum w:abstractNumId="282">
    <w:nsid w:val="306235EA"/>
    <w:multiLevelType w:val="hybridMultilevel"/>
    <w:lvl w:ilvl="0">
      <w:lvlJc w:val="left"/>
      <w:lvlText w:val="%1"/>
      <w:numFmt w:val="lowerLetter"/>
      <w:start w:val="1"/>
    </w:lvl>
    <w:lvl w:ilvl="1">
      <w:lvlJc w:val="left"/>
      <w:lvlText w:val="(%2)"/>
      <w:numFmt w:val="lowerLetter"/>
      <w:start w:val="1"/>
    </w:lvl>
  </w:abstractNum>
  <w:abstractNum w:abstractNumId="283">
    <w:nsid w:val="1187C70F"/>
    <w:multiLevelType w:val="hybridMultilevel"/>
    <w:lvl w:ilvl="0">
      <w:lvlJc w:val="left"/>
      <w:lvlText w:val="(%1)"/>
      <w:numFmt w:val="lowerLetter"/>
      <w:start w:val="4"/>
    </w:lvl>
    <w:lvl w:ilvl="1">
      <w:lvlJc w:val="left"/>
      <w:lvlText w:val="%2"/>
      <w:numFmt w:val="lowerLetter"/>
      <w:start w:val="1"/>
    </w:lvl>
  </w:abstractNum>
  <w:abstractNum w:abstractNumId="284">
    <w:nsid w:val="5476DE98"/>
    <w:multiLevelType w:val="hybridMultilevel"/>
    <w:lvl w:ilvl="0">
      <w:lvlJc w:val="left"/>
      <w:lvlText w:val="(%1)"/>
      <w:numFmt w:val="lowerLetter"/>
      <w:start w:val="5"/>
    </w:lvl>
  </w:abstractNum>
  <w:abstractNum w:abstractNumId="285">
    <w:nsid w:val="EA697F2"/>
    <w:multiLevelType w:val="hybridMultilevel"/>
    <w:lvl w:ilvl="0">
      <w:lvlJc w:val="left"/>
      <w:lvlText w:val="(%1)"/>
      <w:numFmt w:val="lowerLetter"/>
      <w:start w:val="15"/>
    </w:lvl>
  </w:abstractNum>
  <w:abstractNum w:abstractNumId="286">
    <w:nsid w:val="70BA39EB"/>
    <w:multiLevelType w:val="hybridMultilevel"/>
    <w:lvl w:ilvl="0">
      <w:lvlJc w:val="left"/>
      <w:lvlText w:val="(%1)"/>
      <w:numFmt w:val="lowerLetter"/>
      <w:start w:val="1"/>
    </w:lvl>
  </w:abstractNum>
  <w:abstractNum w:abstractNumId="287">
    <w:nsid w:val="4A8DB59C"/>
    <w:multiLevelType w:val="hybridMultilevel"/>
    <w:lvl w:ilvl="0">
      <w:lvlJc w:val="left"/>
      <w:lvlText w:val="%1"/>
      <w:numFmt w:val="lowerLetter"/>
      <w:start w:val="1"/>
    </w:lvl>
    <w:lvl w:ilvl="1">
      <w:lvlJc w:val="left"/>
      <w:lvlText w:val="(%2)"/>
      <w:numFmt w:val="lowerLetter"/>
      <w:start w:val="4"/>
    </w:lvl>
  </w:abstractNum>
  <w:abstractNum w:abstractNumId="288">
    <w:nsid w:val="1AFD9053"/>
    <w:multiLevelType w:val="hybridMultilevel"/>
    <w:lvl w:ilvl="0">
      <w:lvlJc w:val="left"/>
      <w:lvlText w:val="(%1)"/>
      <w:numFmt w:val="lowerLetter"/>
      <w:start w:val="35"/>
    </w:lvl>
    <w:lvl w:ilvl="1">
      <w:lvlJc w:val="left"/>
      <w:lvlText w:val="(%2)"/>
      <w:numFmt w:val="lowerLetter"/>
      <w:start w:val="8"/>
    </w:lvl>
  </w:abstractNum>
  <w:abstractNum w:abstractNumId="289">
    <w:nsid w:val="558BB10D"/>
    <w:multiLevelType w:val="hybridMultilevel"/>
    <w:lvl w:ilvl="0">
      <w:lvlJc w:val="left"/>
      <w:lvlText w:val="%1"/>
      <w:numFmt w:val="lowerLetter"/>
      <w:start w:val="1"/>
    </w:lvl>
    <w:lvl w:ilvl="1">
      <w:lvlJc w:val="left"/>
      <w:lvlText w:val="(%2)"/>
      <w:numFmt w:val="lowerLetter"/>
      <w:start w:val="9"/>
    </w:lvl>
  </w:abstractNum>
  <w:abstractNum w:abstractNumId="290">
    <w:nsid w:val="43B27FA7"/>
    <w:multiLevelType w:val="hybridMultilevel"/>
    <w:lvl w:ilvl="0">
      <w:lvlJc w:val="left"/>
      <w:lvlText w:val="(%1)"/>
      <w:numFmt w:val="lowerLetter"/>
      <w:start w:val="35"/>
    </w:lvl>
    <w:lvl w:ilvl="1">
      <w:lvlJc w:val="left"/>
      <w:lvlText w:val="(%2)"/>
      <w:numFmt w:val="lowerLetter"/>
      <w:start w:val="12"/>
    </w:lvl>
  </w:abstractNum>
  <w:abstractNum w:abstractNumId="291">
    <w:nsid w:val="27FADEFA"/>
    <w:multiLevelType w:val="hybridMultilevel"/>
    <w:lvl w:ilvl="0">
      <w:lvlJc w:val="left"/>
      <w:lvlText w:val="(%1)"/>
      <w:numFmt w:val="lowerLetter"/>
      <w:start w:val="20"/>
    </w:lvl>
  </w:abstractNum>
  <w:abstractNum w:abstractNumId="292">
    <w:nsid w:val="78BB805A"/>
    <w:multiLevelType w:val="hybridMultilevel"/>
    <w:lvl w:ilvl="0">
      <w:lvlJc w:val="left"/>
      <w:lvlText w:val="(%1)"/>
      <w:numFmt w:val="lowerLetter"/>
      <w:start w:val="27"/>
    </w:lvl>
  </w:abstractNum>
  <w:abstractNum w:abstractNumId="293">
    <w:nsid w:val="62548FD8"/>
    <w:multiLevelType w:val="hybridMultilevel"/>
    <w:lvl w:ilvl="0">
      <w:lvlJc w:val="left"/>
      <w:lvlText w:val="(%1)"/>
      <w:numFmt w:val="lowerLetter"/>
      <w:start w:val="1"/>
    </w:lvl>
  </w:abstractNum>
  <w:abstractNum w:abstractNumId="294">
    <w:nsid w:val="FA085B0"/>
    <w:multiLevelType w:val="hybridMultilevel"/>
    <w:lvl w:ilvl="0">
      <w:lvlJc w:val="left"/>
      <w:lvlText w:val="%1"/>
      <w:numFmt w:val="lowerLetter"/>
      <w:start w:val="1"/>
    </w:lvl>
    <w:lvl w:ilvl="1">
      <w:lvlJc w:val="left"/>
      <w:lvlText w:val="(%2)"/>
      <w:numFmt w:val="lowerLetter"/>
      <w:start w:val="1"/>
    </w:lvl>
  </w:abstractNum>
  <w:abstractNum w:abstractNumId="295">
    <w:nsid w:val="4E5DCB5"/>
    <w:multiLevelType w:val="hybridMultilevel"/>
    <w:lvl w:ilvl="0">
      <w:lvlJc w:val="left"/>
      <w:lvlText w:val="(%1)"/>
      <w:numFmt w:val="lowerLetter"/>
      <w:start w:val="61"/>
    </w:lvl>
    <w:lvl w:ilvl="1">
      <w:lvlJc w:val="left"/>
      <w:lvlText w:val="%2"/>
      <w:numFmt w:val="lowerLetter"/>
      <w:start w:val="1"/>
    </w:lvl>
  </w:abstractNum>
  <w:abstractNum w:abstractNumId="296">
    <w:nsid w:val="41E96BDB"/>
    <w:multiLevelType w:val="hybridMultilevel"/>
    <w:lvl w:ilvl="0">
      <w:lvlJc w:val="left"/>
      <w:lvlText w:val="(%1)"/>
      <w:numFmt w:val="lowerLetter"/>
      <w:start w:val="3"/>
    </w:lvl>
  </w:abstractNum>
  <w:abstractNum w:abstractNumId="297">
    <w:nsid w:val="331C4250"/>
    <w:multiLevelType w:val="hybridMultilevel"/>
    <w:lvl w:ilvl="0">
      <w:lvlJc w:val="left"/>
      <w:lvlText w:val="(%1)"/>
      <w:numFmt w:val="lowerLetter"/>
      <w:start w:val="12"/>
    </w:lvl>
  </w:abstractNum>
  <w:abstractNum w:abstractNumId="298">
    <w:nsid w:val="1B1493C2"/>
    <w:multiLevelType w:val="hybridMultilevel"/>
    <w:lvl w:ilvl="0">
      <w:lvlJc w:val="left"/>
      <w:lvlText w:val="(%1)"/>
      <w:numFmt w:val="lowerLetter"/>
      <w:start w:val="5"/>
    </w:lvl>
  </w:abstractNum>
  <w:abstractNum w:abstractNumId="299">
    <w:nsid w:val="39F06DFD"/>
    <w:multiLevelType w:val="hybridMultilevel"/>
    <w:lvl w:ilvl="0">
      <w:lvlJc w:val="left"/>
      <w:lvlText w:val="(%1)"/>
      <w:numFmt w:val="lowerLetter"/>
      <w:start w:val="1"/>
    </w:lvl>
  </w:abstractNum>
  <w:abstractNum w:abstractNumId="300">
    <w:nsid w:val="14802F5D"/>
    <w:multiLevelType w:val="hybridMultilevel"/>
    <w:lvl w:ilvl="0">
      <w:lvlJc w:val="left"/>
      <w:lvlText w:val="%1"/>
      <w:numFmt w:val="lowerLetter"/>
      <w:start w:val="1"/>
    </w:lvl>
    <w:lvl w:ilvl="1">
      <w:lvlJc w:val="left"/>
      <w:lvlText w:val="(%2)"/>
      <w:numFmt w:val="lowerLetter"/>
      <w:start w:val="2"/>
    </w:lvl>
  </w:abstractNum>
  <w:abstractNum w:abstractNumId="301">
    <w:nsid w:val="2774A209"/>
    <w:multiLevelType w:val="hybridMultilevel"/>
    <w:lvl w:ilvl="0">
      <w:lvlJc w:val="left"/>
      <w:lvlText w:val="(%1)"/>
      <w:numFmt w:val="lowerLetter"/>
      <w:start w:val="35"/>
    </w:lvl>
    <w:lvl w:ilvl="1">
      <w:lvlJc w:val="left"/>
      <w:lvlText w:val="(%2)"/>
      <w:numFmt w:val="lowerLetter"/>
      <w:start w:val="7"/>
    </w:lvl>
  </w:abstractNum>
  <w:abstractNum w:abstractNumId="302">
    <w:nsid w:val="3785655A"/>
    <w:multiLevelType w:val="hybridMultilevel"/>
    <w:lvl w:ilvl="0">
      <w:lvlJc w:val="left"/>
      <w:lvlText w:val="(%1)"/>
      <w:numFmt w:val="lowerLetter"/>
      <w:start w:val="8"/>
    </w:lvl>
  </w:abstractNum>
  <w:abstractNum w:abstractNumId="303">
    <w:nsid w:val="B2172A"/>
    <w:multiLevelType w:val="hybridMultilevel"/>
    <w:lvl w:ilvl="0">
      <w:lvlJc w:val="left"/>
      <w:lvlText w:val="(%1)"/>
      <w:numFmt w:val="lowerLetter"/>
      <w:start w:val="1"/>
    </w:lvl>
  </w:abstractNum>
  <w:abstractNum w:abstractNumId="304">
    <w:nsid w:val="532C34A5"/>
    <w:multiLevelType w:val="hybridMultilevel"/>
    <w:lvl w:ilvl="0">
      <w:lvlJc w:val="left"/>
      <w:lvlText w:val="(%1)"/>
      <w:numFmt w:val="lowerLetter"/>
      <w:start w:val="61"/>
    </w:lvl>
    <w:lvl w:ilvl="1">
      <w:lvlJc w:val="left"/>
      <w:lvlText w:val="(%2)"/>
      <w:numFmt w:val="lowerLetter"/>
      <w:start w:val="4"/>
    </w:lvl>
  </w:abstractNum>
  <w:abstractNum w:abstractNumId="305">
    <w:nsid w:val="102809E2"/>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306">
    <w:nsid w:val="3B2125A3"/>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35"/>
    </w:lvl>
  </w:abstractNum>
  <w:abstractNum w:abstractNumId="307">
    <w:nsid w:val="AC68FF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308">
    <w:nsid w:val="63DF3FB7"/>
    <w:multiLevelType w:val="hybridMultilevel"/>
    <w:lvl w:ilvl="0">
      <w:lvlJc w:val="left"/>
      <w:lvlText w:val="%1"/>
      <w:numFmt w:val="lowerLetter"/>
      <w:start w:val="1"/>
    </w:lvl>
    <w:lvl w:ilvl="1">
      <w:lvlJc w:val="left"/>
      <w:lvlText w:val="(%2)"/>
      <w:numFmt w:val="lowerLetter"/>
      <w:start w:val="61"/>
    </w:lvl>
  </w:abstractNum>
  <w:abstractNum w:abstractNumId="309">
    <w:nsid w:val="64996E13"/>
    <w:multiLevelType w:val="hybridMultilevel"/>
    <w:lvl w:ilvl="0">
      <w:lvlJc w:val="left"/>
      <w:lvlText w:val="(%1)"/>
      <w:numFmt w:val="lowerLetter"/>
      <w:start w:val="7"/>
    </w:lvl>
    <w:lvl w:ilvl="1">
      <w:lvlJc w:val="left"/>
      <w:lvlText w:val="%2"/>
      <w:numFmt w:val="lowerLetter"/>
      <w:start w:val="1"/>
    </w:lvl>
  </w:abstractNum>
  <w:abstractNum w:abstractNumId="310">
    <w:nsid w:val="57A37D47"/>
    <w:multiLevelType w:val="hybridMultilevel"/>
    <w:lvl w:ilvl="0">
      <w:lvlJc w:val="left"/>
      <w:lvlText w:val="(%1)"/>
      <w:numFmt w:val="lowerLetter"/>
      <w:start w:val="10"/>
    </w:lvl>
  </w:abstractNum>
  <w:abstractNum w:abstractNumId="311">
    <w:nsid w:val="74824D54"/>
    <w:multiLevelType w:val="hybridMultilevel"/>
    <w:lvl w:ilvl="0">
      <w:lvlJc w:val="left"/>
      <w:lvlText w:val="(%1)"/>
      <w:numFmt w:val="lowerLetter"/>
      <w:start w:val="1"/>
    </w:lvl>
    <w:lvl w:ilvl="1">
      <w:lvlJc w:val="left"/>
      <w:lvlText w:val="(%2)"/>
      <w:numFmt w:val="lowerRoman"/>
      <w:start w:val="1"/>
    </w:lvl>
  </w:abstractNum>
  <w:abstractNum w:abstractNumId="312">
    <w:nsid w:val="6F00529A"/>
    <w:multiLevelType w:val="hybridMultilevel"/>
    <w:lvl w:ilvl="0">
      <w:lvlJc w:val="left"/>
      <w:lvlText w:val="(%1)"/>
      <w:numFmt w:val="lowerLetter"/>
      <w:start w:val="2"/>
    </w:lvl>
  </w:abstractNum>
  <w:abstractNum w:abstractNumId="313">
    <w:nsid w:val="805B331"/>
    <w:multiLevelType w:val="hybridMultilevel"/>
    <w:lvl w:ilvl="0">
      <w:lvlJc w:val="left"/>
      <w:lvlText w:val="(%1)"/>
      <w:numFmt w:val="lowerLetter"/>
      <w:start w:val="3"/>
    </w:lvl>
  </w:abstractNum>
  <w:abstractNum w:abstractNumId="314">
    <w:nsid w:val="60A1463"/>
    <w:multiLevelType w:val="hybridMultilevel"/>
    <w:lvl w:ilvl="0">
      <w:lvlJc w:val="left"/>
      <w:lvlText w:val="(%1)"/>
      <w:numFmt w:val="lowerLetter"/>
      <w:start w:val="5"/>
    </w:lvl>
  </w:abstractNum>
  <w:abstractNum w:abstractNumId="315">
    <w:nsid w:val="43773132"/>
    <w:multiLevelType w:val="hybridMultilevel"/>
    <w:lvl w:ilvl="0">
      <w:lvlJc w:val="left"/>
      <w:lvlText w:val="(%1)"/>
      <w:numFmt w:val="lowerLetter"/>
      <w:start w:val="1"/>
    </w:lvl>
  </w:abstractNum>
  <w:abstractNum w:abstractNumId="316">
    <w:nsid w:val="16AC4B23"/>
    <w:multiLevelType w:val="hybridMultilevel"/>
    <w:lvl w:ilvl="0">
      <w:lvlJc w:val="left"/>
      <w:lvlText w:val="(%1)"/>
      <w:numFmt w:val="lowerLetter"/>
      <w:start w:val="1"/>
    </w:lvl>
  </w:abstractNum>
  <w:abstractNum w:abstractNumId="317">
    <w:nsid w:val="76C44E4E"/>
    <w:multiLevelType w:val="hybridMultilevel"/>
    <w:lvl w:ilvl="0">
      <w:lvlJc w:val="left"/>
      <w:lvlText w:val="(%1)"/>
      <w:numFmt w:val="upperLetter"/>
      <w:start w:val="2"/>
    </w:lvl>
    <w:lvl w:ilvl="1">
      <w:lvlJc w:val="left"/>
      <w:lvlText w:val="(%2)"/>
      <w:numFmt w:val="lowerLetter"/>
      <w:start w:val="3"/>
    </w:lvl>
  </w:abstractNum>
  <w:abstractNum w:abstractNumId="318">
    <w:nsid w:val="E04E6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9">
    <w:nsid w:val="31A9DB76"/>
    <w:multiLevelType w:val="hybridMultilevel"/>
    <w:lvl w:ilvl="0">
      <w:lvlJc w:val="left"/>
      <w:lvlText w:val="(%1)"/>
      <w:numFmt w:val="lowerRoman"/>
      <w:start w:val="2"/>
    </w:lvl>
    <w:lvl w:ilvl="1">
      <w:lvlJc w:val="left"/>
      <w:lvlText w:val="(%2)"/>
      <w:numFmt w:val="upperLetter"/>
      <w:start w:val="1"/>
    </w:lvl>
  </w:abstractNum>
  <w:abstractNum w:abstractNumId="320">
    <w:nsid w:val="4C4FFF5B"/>
    <w:multiLevelType w:val="hybridMultilevel"/>
    <w:lvl w:ilvl="0">
      <w:lvlJc w:val="left"/>
      <w:lvlText w:val="(%1)"/>
      <w:numFmt w:val="lowerLetter"/>
      <w:start w:val="3"/>
    </w:lvl>
  </w:abstractNum>
  <w:abstractNum w:abstractNumId="321">
    <w:nsid w:val="51B76675"/>
    <w:multiLevelType w:val="hybridMultilevel"/>
    <w:lvl w:ilvl="0">
      <w:lvlJc w:val="left"/>
      <w:lvlText w:val="(%1)"/>
      <w:numFmt w:val="lowerLetter"/>
      <w:start w:val="5"/>
    </w:lvl>
  </w:abstractNum>
  <w:abstractNum w:abstractNumId="322">
    <w:nsid w:val="59A4BA71"/>
    <w:multiLevelType w:val="hybridMultilevel"/>
    <w:lvl w:ilvl="0">
      <w:lvlJc w:val="left"/>
      <w:lvlText w:val="(%1)"/>
      <w:numFmt w:val="lowerLetter"/>
      <w:start w:val="1"/>
    </w:lvl>
  </w:abstractNum>
  <w:abstractNum w:abstractNumId="323">
    <w:nsid w:val="450B7FB6"/>
    <w:multiLevelType w:val="hybridMultilevel"/>
    <w:lvl w:ilvl="0">
      <w:lvlJc w:val="left"/>
      <w:lvlText w:val="(%1)"/>
      <w:numFmt w:val="lowerLetter"/>
      <w:start w:val="1"/>
    </w:lvl>
  </w:abstractNum>
  <w:abstractNum w:abstractNumId="324">
    <w:nsid w:val="340BF64D"/>
    <w:multiLevelType w:val="hybridMultilevel"/>
    <w:lvl w:ilvl="0">
      <w:lvlJc w:val="left"/>
      <w:lvlText w:val="(%1)"/>
      <w:numFmt w:val="lowerLetter"/>
      <w:start w:val="4"/>
    </w:lvl>
  </w:abstractNum>
  <w:abstractNum w:abstractNumId="325">
    <w:nsid w:val="69454021"/>
    <w:multiLevelType w:val="hybridMultilevel"/>
    <w:lvl w:ilvl="0">
      <w:lvlJc w:val="left"/>
      <w:lvlText w:val="%1."/>
      <w:numFmt w:val="decimal"/>
      <w:start w:val="1"/>
    </w:lvl>
  </w:abstractNum>
  <w:abstractNum w:abstractNumId="326">
    <w:nsid w:val="49F15C6B"/>
    <w:multiLevelType w:val="hybridMultilevel"/>
    <w:lvl w:ilvl="0">
      <w:lvlJc w:val="left"/>
      <w:lvlText w:val="%1."/>
      <w:numFmt w:val="decimal"/>
      <w:start w:val="7"/>
    </w:lvl>
  </w:abstractNum>
  <w:abstractNum w:abstractNumId="327">
    <w:nsid w:val="75F56228"/>
    <w:multiLevelType w:val="hybridMultilevel"/>
    <w:lvl w:ilvl="0">
      <w:lvlJc w:val="left"/>
      <w:lvlText w:val="(%1)"/>
      <w:numFmt w:val="lowerLetter"/>
      <w:start w:val="1"/>
    </w:lvl>
    <w:lvl w:ilvl="1">
      <w:lvlJc w:val="left"/>
      <w:lvlText w:val="(%2)"/>
      <w:numFmt w:val="lowerLetter"/>
      <w:start w:val="9"/>
    </w:lvl>
  </w:abstractNum>
  <w:abstractNum w:abstractNumId="328">
    <w:nsid w:val="1C618271"/>
    <w:multiLevelType w:val="hybridMultilevel"/>
    <w:lvl w:ilvl="0">
      <w:lvlJc w:val="left"/>
      <w:lvlText w:val="(%1)"/>
      <w:numFmt w:val="lowerRoman"/>
      <w:start w:val="2"/>
    </w:lvl>
  </w:abstractNum>
  <w:abstractNum w:abstractNumId="329">
    <w:nsid w:val="6505F02E"/>
    <w:multiLevelType w:val="hybridMultilevel"/>
    <w:lvl w:ilvl="0">
      <w:lvlJc w:val="left"/>
      <w:lvlText w:val="%1"/>
      <w:numFmt w:val="lowerLetter"/>
      <w:start w:val="1"/>
    </w:lvl>
    <w:lvl w:ilvl="1">
      <w:lvlJc w:val="left"/>
      <w:lvlText w:val="(%2)"/>
      <w:numFmt w:val="lowerRoman"/>
      <w:start w:val="4"/>
    </w:lvl>
  </w:abstractNum>
  <w:abstractNum w:abstractNumId="330">
    <w:nsid w:val="2FE5D025"/>
    <w:multiLevelType w:val="hybridMultilevel"/>
    <w:lvl w:ilvl="0">
      <w:lvlJc w:val="left"/>
      <w:lvlText w:val="(%1)"/>
      <w:numFmt w:val="lowerLetter"/>
      <w:start w:val="3"/>
    </w:lvl>
    <w:lvl w:ilvl="1">
      <w:lvlJc w:val="left"/>
      <w:lvlText w:val="%2"/>
      <w:numFmt w:val="lowerRoman"/>
      <w:start w:val="1"/>
    </w:lvl>
  </w:abstractNum>
  <w:abstractNum w:abstractNumId="331">
    <w:nsid w:val="30E1B1CF"/>
    <w:multiLevelType w:val="hybridMultilevel"/>
    <w:lvl w:ilvl="0">
      <w:lvlJc w:val="left"/>
      <w:lvlText w:val="(%1)"/>
      <w:numFmt w:val="decimal"/>
      <w:start w:val="1"/>
    </w:lvl>
  </w:abstractNum>
  <w:abstractNum w:abstractNumId="332">
    <w:nsid w:val="C7A9237"/>
    <w:multiLevelType w:val="hybridMultilevel"/>
    <w:lvl w:ilvl="0">
      <w:lvlJc w:val="left"/>
      <w:lvlText w:val="(%1)"/>
      <w:numFmt w:val="lowerLetter"/>
      <w:start w:val="1"/>
    </w:lvl>
    <w:lvl w:ilvl="1">
      <w:lvlJc w:val="left"/>
      <w:lvlText w:val="(%2)"/>
      <w:numFmt w:val="lowerLetter"/>
      <w:start w:val="9"/>
    </w:lvl>
  </w:abstractNum>
  <w:abstractNum w:abstractNumId="333">
    <w:nsid w:val="676B3580"/>
    <w:multiLevelType w:val="hybridMultilevel"/>
    <w:lvl w:ilvl="0">
      <w:lvlJc w:val="left"/>
      <w:lvlText w:val="%1"/>
      <w:numFmt w:val="lowerLetter"/>
      <w:start w:val="1"/>
    </w:lvl>
    <w:lvl w:ilvl="1">
      <w:lvlJc w:val="left"/>
      <w:lvlText w:val="(%2)"/>
      <w:numFmt w:val="lowerLetter"/>
      <w:start w:val="35"/>
    </w:lvl>
  </w:abstractNum>
  <w:abstractNum w:abstractNumId="334">
    <w:nsid w:val="3193C8F9"/>
    <w:multiLevelType w:val="hybridMultilevel"/>
    <w:lvl w:ilvl="0">
      <w:lvlJc w:val="left"/>
      <w:lvlText w:val="(%1)"/>
      <w:numFmt w:val="lowerLetter"/>
      <w:start w:val="2"/>
    </w:lvl>
    <w:lvl w:ilvl="1">
      <w:lvlJc w:val="left"/>
      <w:lvlText w:val="%2"/>
      <w:numFmt w:val="lowerLetter"/>
      <w:start w:val="1"/>
    </w:lvl>
  </w:abstractNum>
  <w:abstractNum w:abstractNumId="335">
    <w:nsid w:val="5FA6C6DC"/>
    <w:multiLevelType w:val="hybridMultilevel"/>
    <w:lvl w:ilvl="0">
      <w:lvlJc w:val="left"/>
      <w:lvlText w:val="(%1)"/>
      <w:numFmt w:val="lowerLetter"/>
      <w:start w:val="4"/>
    </w:lvl>
  </w:abstractNum>
  <w:abstractNum w:abstractNumId="336">
    <w:nsid w:val="77933F62"/>
    <w:multiLevelType w:val="hybridMultilevel"/>
    <w:lvl w:ilvl="0">
      <w:lvlJc w:val="left"/>
      <w:lvlText w:val="(%1)"/>
      <w:numFmt w:val="lowerLetter"/>
      <w:start w:val="5"/>
    </w:lvl>
  </w:abstractNum>
  <w:abstractNum w:abstractNumId="337">
    <w:nsid w:val="6CB4EE9C"/>
    <w:multiLevelType w:val="hybridMultilevel"/>
    <w:lvl w:ilvl="0">
      <w:lvlJc w:val="left"/>
      <w:lvlText w:val="(%1)"/>
      <w:numFmt w:val="lowerLetter"/>
      <w:start w:val="1"/>
    </w:lvl>
    <w:lvl w:ilvl="1">
      <w:lvlJc w:val="left"/>
      <w:lvlText w:val="(%2)"/>
      <w:numFmt w:val="lowerRoman"/>
      <w:start w:val="1"/>
    </w:lvl>
  </w:abstractNum>
  <w:abstractNum w:abstractNumId="338">
    <w:nsid w:val="6A6D56D7"/>
    <w:multiLevelType w:val="hybridMultilevel"/>
    <w:lvl w:ilvl="0">
      <w:lvlJc w:val="left"/>
      <w:lvlText w:val="(%1)"/>
      <w:numFmt w:val="lowerRoman"/>
      <w:start w:val="3"/>
    </w:lvl>
  </w:abstractNum>
  <w:abstractNum w:abstractNumId="339">
    <w:nsid w:val="5B727F19"/>
    <w:multiLevelType w:val="hybridMultilevel"/>
    <w:lvl w:ilvl="0">
      <w:lvlJc w:val="left"/>
      <w:lvlText w:val="(%1)"/>
      <w:numFmt w:val="lowerLetter"/>
      <w:start w:val="4"/>
    </w:lvl>
  </w:abstractNum>
  <w:abstractNum w:abstractNumId="340">
    <w:nsid w:val="514E5CB0"/>
    <w:multiLevelType w:val="hybridMultilevel"/>
    <w:lvl w:ilvl="0">
      <w:lvlJc w:val="left"/>
      <w:lvlText w:val="(%1)"/>
      <w:numFmt w:val="lowerLetter"/>
      <w:start w:val="2"/>
    </w:lvl>
  </w:abstractNum>
  <w:abstractNum w:abstractNumId="341">
    <w:nsid w:val="4210D41E"/>
    <w:multiLevelType w:val="hybridMultilevel"/>
    <w:lvl w:ilvl="0">
      <w:lvlJc w:val="left"/>
      <w:lvlText w:val="(%1)"/>
      <w:numFmt w:val="lowerRoman"/>
      <w:start w:val="1"/>
    </w:lvl>
  </w:abstractNum>
  <w:abstractNum w:abstractNumId="342">
    <w:nsid w:val="4FF4CC6D"/>
    <w:multiLevelType w:val="hybridMultilevel"/>
    <w:lvl w:ilvl="0">
      <w:lvlJc w:val="left"/>
      <w:lvlText w:val="%1"/>
      <w:numFmt w:val="lowerLetter"/>
      <w:start w:val="1"/>
    </w:lvl>
    <w:lvl w:ilvl="1">
      <w:lvlJc w:val="left"/>
      <w:lvlText w:val="(%2)"/>
      <w:numFmt w:val="lowerLetter"/>
      <w:start w:val="22"/>
    </w:lvl>
  </w:abstractNum>
  <w:abstractNum w:abstractNumId="343">
    <w:nsid w:val="404EAF4A"/>
    <w:multiLevelType w:val="hybridMultilevel"/>
    <w:lvl w:ilvl="0">
      <w:lvlJc w:val="left"/>
      <w:lvlText w:val="(%1)"/>
      <w:numFmt w:val="lowerLetter"/>
      <w:start w:val="4"/>
    </w:lvl>
    <w:lvl w:ilvl="1">
      <w:lvlJc w:val="left"/>
      <w:lvlText w:val="%2"/>
      <w:numFmt w:val="lowerLetter"/>
      <w:start w:val="1"/>
    </w:lvl>
  </w:abstractNum>
  <w:abstractNum w:abstractNumId="344">
    <w:nsid w:val="4A16874F"/>
    <w:multiLevelType w:val="hybridMultilevel"/>
    <w:lvl w:ilvl="0">
      <w:lvlJc w:val="left"/>
      <w:lvlText w:val="(%1)"/>
      <w:numFmt w:val="lowerLetter"/>
      <w:start w:val="1"/>
    </w:lvl>
  </w:abstractNum>
  <w:abstractNum w:abstractNumId="345">
    <w:nsid w:val="55FEE0D1"/>
    <w:multiLevelType w:val="hybridMultilevel"/>
    <w:lvl w:ilvl="0">
      <w:lvlJc w:val="left"/>
      <w:lvlText w:val="(%1)"/>
      <w:numFmt w:val="lowerLetter"/>
      <w:start w:val="2"/>
    </w:lvl>
  </w:abstractNum>
  <w:abstractNum w:abstractNumId="346">
    <w:nsid w:val="3C5E07C"/>
    <w:multiLevelType w:val="hybridMultilevel"/>
    <w:lvl w:ilvl="0">
      <w:lvlJc w:val="left"/>
      <w:lvlText w:val="%1"/>
      <w:numFmt w:val="lowerLetter"/>
      <w:start w:val="1"/>
    </w:lvl>
    <w:lvl w:ilvl="1">
      <w:lvlJc w:val="left"/>
      <w:lvlText w:val="(%2)"/>
      <w:numFmt w:val="lowerLetter"/>
      <w:start w:val="1"/>
    </w:lvl>
  </w:abstractNum>
  <w:abstractNum w:abstractNumId="347">
    <w:nsid w:val="60C2D273"/>
    <w:multiLevelType w:val="hybridMultilevel"/>
    <w:lvl w:ilvl="0">
      <w:lvlJc w:val="left"/>
      <w:lvlText w:val="(%1)"/>
      <w:numFmt w:val="lowerLetter"/>
      <w:start w:val="35"/>
    </w:lvl>
    <w:lvl w:ilvl="1">
      <w:lvlJc w:val="left"/>
      <w:lvlText w:val="%2"/>
      <w:numFmt w:val="lowerLetter"/>
      <w:start w:val="1"/>
    </w:lvl>
  </w:abstractNum>
  <w:abstractNum w:abstractNumId="348">
    <w:nsid w:val="4CC32F1F"/>
    <w:multiLevelType w:val="hybridMultilevel"/>
    <w:lvl w:ilvl="0">
      <w:lvlJc w:val="left"/>
      <w:lvlText w:val="(%1)"/>
      <w:numFmt w:val="lowerLetter"/>
      <w:start w:val="2"/>
    </w:lvl>
  </w:abstractNum>
  <w:abstractNum w:abstractNumId="349">
    <w:nsid w:val="11CAC74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abstractNum>
  <w:abstractNum w:abstractNumId="350">
    <w:nsid w:val="126CADE9"/>
    <w:multiLevelType w:val="hybridMultilevel"/>
    <w:lvl w:ilvl="0">
      <w:lvlJc w:val="left"/>
      <w:lvlText w:val="(%1)"/>
      <w:numFmt w:val="lowerLetter"/>
      <w:start w:val="2"/>
    </w:lvl>
  </w:abstractNum>
  <w:abstractNum w:abstractNumId="351">
    <w:nsid w:val="19132E7B"/>
    <w:multiLevelType w:val="hybridMultilevel"/>
    <w:lvl w:ilvl="0">
      <w:lvlJc w:val="left"/>
      <w:lvlText w:val="(%1)"/>
      <w:numFmt w:val="upperLetter"/>
      <w:start w:val="3"/>
    </w:lvl>
  </w:abstractNum>
  <w:abstractNum w:abstractNumId="352">
    <w:nsid w:val="63822DC0"/>
    <w:multiLevelType w:val="hybridMultilevel"/>
    <w:lvl w:ilvl="0">
      <w:lvlJc w:val="left"/>
      <w:lvlText w:val="(%1)"/>
      <w:numFmt w:val="lowerLetter"/>
      <w:start w:val="1"/>
    </w:lvl>
  </w:abstractNum>
  <w:abstractNum w:abstractNumId="353">
    <w:nsid w:val="6C11685A"/>
    <w:multiLevelType w:val="hybridMultilevel"/>
    <w:lvl w:ilvl="0">
      <w:lvlJc w:val="left"/>
      <w:lvlText w:val="(%1)"/>
      <w:numFmt w:val="lowerLetter"/>
      <w:start w:val="1"/>
    </w:lvl>
  </w:abstractNum>
  <w:abstractNum w:abstractNumId="354">
    <w:nsid w:val="5E1EAE31"/>
    <w:multiLevelType w:val="hybridMultilevel"/>
    <w:lvl w:ilvl="0">
      <w:lvlJc w:val="left"/>
      <w:lvlText w:val="(%1)"/>
      <w:numFmt w:val="lowerLetter"/>
      <w:start w:val="6"/>
    </w:lvl>
  </w:abstractNum>
  <w:abstractNum w:abstractNumId="355">
    <w:nsid w:val="178E240D"/>
    <w:multiLevelType w:val="hybridMultilevel"/>
    <w:lvl w:ilvl="0">
      <w:lvlJc w:val="left"/>
      <w:lvlText w:val="(%1)"/>
      <w:numFmt w:val="lowerLetter"/>
      <w:start w:val="1"/>
    </w:lvl>
  </w:abstractNum>
  <w:abstractNum w:abstractNumId="356">
    <w:nsid w:val="5556A87B"/>
    <w:multiLevelType w:val="hybridMultilevel"/>
    <w:lvl w:ilvl="0">
      <w:lvlJc w:val="left"/>
      <w:lvlText w:val="(%1)"/>
      <w:numFmt w:val="lowerLetter"/>
      <w:start w:val="22"/>
    </w:lvl>
    <w:lvl w:ilvl="1">
      <w:lvlJc w:val="left"/>
      <w:lvlText w:val="(%2)"/>
      <w:numFmt w:val="lowerLetter"/>
      <w:start w:val="2"/>
    </w:lvl>
  </w:abstractNum>
  <w:abstractNum w:abstractNumId="357">
    <w:nsid w:val="28100A9C"/>
    <w:multiLevelType w:val="hybridMultilevel"/>
    <w:lvl w:ilvl="0">
      <w:lvlJc w:val="left"/>
      <w:lvlText w:val="(%1)"/>
      <w:numFmt w:val="lowerLetter"/>
      <w:start w:val="61"/>
    </w:lvl>
    <w:lvl w:ilvl="1">
      <w:lvlJc w:val="left"/>
      <w:lvlText w:val="%2"/>
      <w:numFmt w:val="lowerLetter"/>
      <w:start w:val="1"/>
    </w:lvl>
  </w:abstractNum>
  <w:abstractNum w:abstractNumId="358">
    <w:nsid w:val="D838636"/>
    <w:multiLevelType w:val="hybridMultilevel"/>
    <w:lvl w:ilvl="0">
      <w:lvlJc w:val="left"/>
      <w:lvlText w:val="(%1)"/>
      <w:numFmt w:val="lowerLetter"/>
      <w:start w:val="3"/>
    </w:lvl>
  </w:abstractNum>
  <w:abstractNum w:abstractNumId="359">
    <w:nsid w:val="71B82AED"/>
    <w:multiLevelType w:val="hybridMultilevel"/>
    <w:lvl w:ilvl="0">
      <w:lvlJc w:val="left"/>
      <w:lvlText w:val="(%1)"/>
      <w:numFmt w:val="lowerLetter"/>
      <w:start w:val="1"/>
    </w:lvl>
  </w:abstractNum>
  <w:abstractNum w:abstractNumId="360">
    <w:nsid w:val="D15FACA"/>
    <w:multiLevelType w:val="hybridMultilevel"/>
    <w:lvl w:ilvl="0">
      <w:lvlJc w:val="left"/>
      <w:lvlText w:val="(%1)"/>
      <w:numFmt w:val="lowerLetter"/>
      <w:start w:val="2"/>
    </w:lvl>
  </w:abstractNum>
  <w:abstractNum w:abstractNumId="361">
    <w:nsid w:val="3D69565B"/>
    <w:multiLevelType w:val="hybridMultilevel"/>
    <w:lvl w:ilvl="0">
      <w:lvlJc w:val="left"/>
      <w:lvlText w:val="(%1)"/>
      <w:numFmt w:val="lowerLetter"/>
      <w:start w:val="1"/>
    </w:lvl>
  </w:abstractNum>
  <w:abstractNum w:abstractNumId="362">
    <w:nsid w:val="2299DCBC"/>
    <w:multiLevelType w:val="hybridMultilevel"/>
    <w:lvl w:ilvl="0">
      <w:lvlJc w:val="left"/>
      <w:lvlText w:val="(%1)"/>
      <w:numFmt w:val="lowerLetter"/>
      <w:start w:val="1"/>
    </w:lvl>
  </w:abstractNum>
  <w:abstractNum w:abstractNumId="363">
    <w:nsid w:val="19908D02"/>
    <w:multiLevelType w:val="hybridMultilevel"/>
    <w:lvl w:ilvl="0">
      <w:lvlJc w:val="left"/>
      <w:lvlText w:val="(%1)"/>
      <w:numFmt w:val="lowerLetter"/>
      <w:start w:val="1"/>
    </w:lvl>
  </w:abstractNum>
  <w:abstractNum w:abstractNumId="364">
    <w:nsid w:val="24D48BDB"/>
    <w:multiLevelType w:val="hybridMultilevel"/>
    <w:lvl w:ilvl="0">
      <w:lvlJc w:val="left"/>
      <w:lvlText w:val="(%1)"/>
      <w:numFmt w:val="lowerLetter"/>
      <w:start w:val="1"/>
    </w:lvl>
    <w:lvl w:ilvl="1">
      <w:lvlJc w:val="left"/>
      <w:lvlText w:val="(%2)"/>
      <w:numFmt w:val="lowerLetter"/>
      <w:start w:val="9"/>
    </w:lvl>
  </w:abstractNum>
  <w:abstractNum w:abstractNumId="365">
    <w:nsid w:val="542DA5B5"/>
    <w:multiLevelType w:val="hybridMultilevel"/>
    <w:lvl w:ilvl="0">
      <w:lvlJc w:val="left"/>
      <w:lvlText w:val="%1"/>
      <w:numFmt w:val="lowerLetter"/>
      <w:start w:val="1"/>
    </w:lvl>
    <w:lvl w:ilvl="1">
      <w:lvlJc w:val="left"/>
      <w:lvlText w:val="(%2)"/>
      <w:numFmt w:val="lowerRoman"/>
      <w:start w:val="2"/>
    </w:lvl>
  </w:abstractNum>
  <w:abstractNum w:abstractNumId="366">
    <w:nsid w:val="793753DE"/>
    <w:multiLevelType w:val="hybridMultilevel"/>
    <w:lvl w:ilvl="0">
      <w:lvlJc w:val="left"/>
      <w:lvlText w:val="(%1)"/>
      <w:numFmt w:val="lowerLetter"/>
      <w:start w:val="3"/>
    </w:lvl>
    <w:lvl w:ilvl="1">
      <w:lvlJc w:val="left"/>
      <w:lvlText w:val="%2"/>
      <w:numFmt w:val="lowerRoman"/>
      <w:start w:val="1"/>
    </w:lvl>
  </w:abstractNum>
  <w:abstractNum w:abstractNumId="367">
    <w:nsid w:val="1C67CB3D"/>
    <w:multiLevelType w:val="hybridMultilevel"/>
    <w:lvl w:ilvl="0">
      <w:lvlJc w:val="left"/>
      <w:lvlText w:val="(%1)"/>
      <w:numFmt w:val="lowerLetter"/>
      <w:start w:val="4"/>
    </w:lvl>
  </w:abstractNum>
  <w:abstractNum w:abstractNumId="368">
    <w:nsid w:val="40E29452"/>
    <w:multiLevelType w:val="hybridMultilevel"/>
    <w:lvl w:ilvl="0">
      <w:lvlJc w:val="left"/>
      <w:lvlText w:val="(%1)"/>
      <w:numFmt w:val="lowerLetter"/>
      <w:start w:val="1"/>
    </w:lvl>
    <w:lvl w:ilvl="1">
      <w:lvlJc w:val="left"/>
      <w:lvlText w:val="(%2)"/>
      <w:numFmt w:val="lowerLetter"/>
      <w:start w:val="9"/>
    </w:lvl>
  </w:abstractNum>
  <w:abstractNum w:abstractNumId="369">
    <w:nsid w:val="63A4AAB6"/>
    <w:multiLevelType w:val="hybridMultilevel"/>
    <w:lvl w:ilvl="0">
      <w:lvlJc w:val="left"/>
      <w:lvlText w:val="%1"/>
      <w:numFmt w:val="upperLetter"/>
      <w:start w:val="1"/>
    </w:lvl>
    <w:lvl w:ilvl="1">
      <w:lvlJc w:val="left"/>
      <w:lvlText w:val="(%2)"/>
      <w:numFmt w:val="lowerRoman"/>
      <w:start w:val="2"/>
    </w:lvl>
  </w:abstractNum>
  <w:abstractNum w:abstractNumId="370">
    <w:nsid w:val="77DA4A57"/>
    <w:multiLevelType w:val="hybridMultilevel"/>
    <w:lvl w:ilvl="0">
      <w:lvlJc w:val="left"/>
      <w:lvlText w:val="(%1)"/>
      <w:numFmt w:val="upperLetter"/>
      <w:start w:val="1"/>
    </w:lvl>
    <w:lvl w:ilvl="1">
      <w:lvlJc w:val="left"/>
      <w:lvlText w:val="(%2)"/>
      <w:numFmt w:val="lowerRoman"/>
      <w:start w:val="3"/>
    </w:lvl>
  </w:abstractNum>
  <w:abstractNum w:abstractNumId="371">
    <w:nsid w:val="1230F102"/>
    <w:multiLevelType w:val="hybridMultilevel"/>
    <w:lvl w:ilvl="0">
      <w:lvlJc w:val="left"/>
      <w:lvlText w:val="%1"/>
      <w:numFmt w:val="lowerLetter"/>
      <w:start w:val="1"/>
    </w:lvl>
    <w:lvl w:ilvl="1">
      <w:lvlJc w:val="left"/>
      <w:lvlText w:val="(%2)"/>
      <w:numFmt w:val="lowerRoman"/>
      <w:start w:val="4"/>
    </w:lvl>
  </w:abstractNum>
  <w:abstractNum w:abstractNumId="372">
    <w:nsid w:val="25B57ED4"/>
    <w:multiLevelType w:val="hybridMultilevel"/>
    <w:lvl w:ilvl="0">
      <w:lvlJc w:val="left"/>
      <w:lvlText w:val="(%1)"/>
      <w:numFmt w:val="lowerLetter"/>
      <w:start w:val="4"/>
    </w:lvl>
    <w:lvl w:ilvl="1">
      <w:lvlJc w:val="left"/>
      <w:lvlText w:val="(%2)"/>
      <w:numFmt w:val="lowerRoman"/>
      <w:start w:val="1"/>
    </w:lvl>
  </w:abstractNum>
  <w:abstractNum w:abstractNumId="373">
    <w:nsid w:val="47CF16C4"/>
    <w:multiLevelType w:val="hybridMultilevel"/>
    <w:lvl w:ilvl="0">
      <w:lvlJc w:val="left"/>
      <w:lvlText w:val="(%1)"/>
      <w:numFmt w:val="lowerLetter"/>
      <w:start w:val="5"/>
    </w:lvl>
  </w:abstractNum>
  <w:abstractNum w:abstractNumId="374">
    <w:nsid w:val="527FA0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5">
    <w:nsid w:val="6FCC0624"/>
    <w:multiLevelType w:val="hybridMultilevel"/>
    <w:lvl w:ilvl="0">
      <w:lvlJc w:val="left"/>
      <w:lvlText w:val="(%1)"/>
      <w:numFmt w:val="upperLetter"/>
      <w:start w:val="4"/>
    </w:lvl>
  </w:abstractNum>
  <w:abstractNum w:abstractNumId="376">
    <w:nsid w:val="1DCDF795"/>
    <w:multiLevelType w:val="hybridMultilevel"/>
    <w:lvl w:ilvl="0">
      <w:lvlJc w:val="left"/>
      <w:lvlText w:val="(%1)"/>
      <w:numFmt w:val="lowerRoman"/>
      <w:start w:val="2"/>
    </w:lvl>
  </w:abstractNum>
  <w:abstractNum w:abstractNumId="377">
    <w:nsid w:val="564580C8"/>
    <w:multiLevelType w:val="hybridMultilevel"/>
    <w:lvl w:ilvl="0">
      <w:lvlJc w:val="left"/>
      <w:lvlText w:val="(%1)"/>
      <w:numFmt w:val="decimal"/>
      <w:start w:val="1"/>
    </w:lvl>
  </w:abstractNum>
  <w:abstractNum w:abstractNumId="378">
    <w:nsid w:val="508ED897"/>
    <w:multiLevelType w:val="hybridMultilevel"/>
    <w:lvl w:ilvl="0">
      <w:lvlJc w:val="left"/>
      <w:lvlText w:val="(%1)"/>
      <w:numFmt w:val="lowerLetter"/>
      <w:start w:val="2"/>
    </w:lvl>
  </w:abstractNum>
  <w:abstractNum w:abstractNumId="379">
    <w:nsid w:val="6A9126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0">
    <w:nsid w:val="6810481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81">
    <w:nsid w:val="62FB8680"/>
    <w:multiLevelType w:val="hybridMultilevel"/>
    <w:lvl w:ilvl="0">
      <w:lvlJc w:val="left"/>
      <w:lvlText w:val="(%1)"/>
      <w:numFmt w:val="lowerLetter"/>
      <w:start w:val="1"/>
    </w:lvl>
  </w:abstractNum>
  <w:abstractNum w:abstractNumId="382">
    <w:nsid w:val="3A45530"/>
    <w:multiLevelType w:val="hybridMultilevel"/>
    <w:lvl w:ilvl="0">
      <w:lvlJc w:val="left"/>
      <w:lvlText w:val="(%1)"/>
      <w:numFmt w:val="lowerLetter"/>
      <w:start w:val="3"/>
    </w:lvl>
  </w:abstractNum>
  <w:abstractNum w:abstractNumId="383">
    <w:nsid w:val="4B9275D2"/>
    <w:multiLevelType w:val="hybridMultilevel"/>
    <w:lvl w:ilvl="0">
      <w:lvlJc w:val="left"/>
      <w:lvlText w:val="(%1)"/>
      <w:numFmt w:val="lowerLetter"/>
      <w:start w:val="1"/>
    </w:lvl>
    <w:lvl w:ilvl="1">
      <w:lvlJc w:val="left"/>
      <w:lvlText w:val="(%2)"/>
      <w:numFmt w:val="lowerRoman"/>
      <w:start w:val="1"/>
    </w:lvl>
  </w:abstractNum>
  <w:abstractNum w:abstractNumId="384">
    <w:nsid w:val="4F0CEEDB"/>
    <w:multiLevelType w:val="hybridMultilevel"/>
    <w:lvl w:ilvl="0">
      <w:lvlJc w:val="left"/>
      <w:lvlText w:val="(%1)"/>
      <w:numFmt w:val="lowerRoman"/>
      <w:start w:val="4"/>
    </w:lvl>
  </w:abstractNum>
  <w:abstractNum w:abstractNumId="385">
    <w:nsid w:val="61C30361"/>
    <w:multiLevelType w:val="hybridMultilevel"/>
    <w:lvl w:ilvl="0">
      <w:lvlJc w:val="left"/>
      <w:lvlText w:val="(%1)"/>
      <w:numFmt w:val="upperLetter"/>
      <w:start w:val="1"/>
    </w:lvl>
  </w:abstractNum>
  <w:abstractNum w:abstractNumId="386">
    <w:nsid w:val="632099E0"/>
    <w:multiLevelType w:val="hybridMultilevel"/>
    <w:lvl w:ilvl="0">
      <w:lvlJc w:val="left"/>
      <w:lvlText w:val="(%1)"/>
      <w:numFmt w:val="lowerLetter"/>
      <w:start w:val="2"/>
    </w:lvl>
  </w:abstractNum>
  <w:abstractNum w:abstractNumId="387">
    <w:nsid w:val="24639756"/>
    <w:multiLevelType w:val="hybridMultilevel"/>
    <w:lvl w:ilvl="0">
      <w:lvlJc w:val="left"/>
      <w:lvlText w:val="(%1)"/>
      <w:numFmt w:val="lowerLetter"/>
      <w:start w:val="1"/>
    </w:lvl>
  </w:abstractNum>
  <w:abstractNum w:abstractNumId="388">
    <w:nsid w:val="9D30DFD"/>
    <w:multiLevelType w:val="hybridMultilevel"/>
    <w:lvl w:ilvl="0">
      <w:lvlJc w:val="left"/>
      <w:lvlText w:val="(%1)"/>
      <w:numFmt w:val="lowerLetter"/>
      <w:start w:val="5"/>
    </w:lvl>
  </w:abstractNum>
  <w:abstractNum w:abstractNumId="389">
    <w:nsid w:val="70A42016"/>
    <w:multiLevelType w:val="hybridMultilevel"/>
    <w:lvl w:ilvl="0">
      <w:lvlJc w:val="left"/>
      <w:lvlText w:val="(%1)"/>
      <w:numFmt w:val="lowerLetter"/>
      <w:start w:val="1"/>
    </w:lvl>
    <w:lvl w:ilvl="1">
      <w:lvlJc w:val="left"/>
      <w:lvlText w:val="(%2)"/>
      <w:numFmt w:val="lowerLetter"/>
      <w:start w:val="9"/>
    </w:lvl>
  </w:abstractNum>
  <w:abstractNum w:abstractNumId="390">
    <w:nsid w:val="161BC243"/>
    <w:multiLevelType w:val="hybridMultilevel"/>
    <w:lvl w:ilvl="0">
      <w:lvlJc w:val="left"/>
      <w:lvlText w:val="%1"/>
      <w:numFmt w:val="lowerLetter"/>
      <w:start w:val="1"/>
    </w:lvl>
    <w:lvl w:ilvl="1">
      <w:lvlJc w:val="left"/>
      <w:lvlText w:val="(%2)"/>
      <w:numFmt w:val="lowerRoman"/>
      <w:start w:val="2"/>
    </w:lvl>
  </w:abstractNum>
  <w:abstractNum w:abstractNumId="391">
    <w:nsid w:val="16E908C8"/>
    <w:multiLevelType w:val="hybridMultilevel"/>
    <w:lvl w:ilvl="0">
      <w:lvlJc w:val="left"/>
      <w:lvlText w:val="(%1)"/>
      <w:numFmt w:val="lowerLetter"/>
      <w:start w:val="3"/>
    </w:lvl>
    <w:lvl w:ilvl="1">
      <w:lvlJc w:val="left"/>
      <w:lvlText w:val="%2"/>
      <w:numFmt w:val="lowerRoman"/>
      <w:start w:val="1"/>
    </w:lvl>
  </w:abstractNum>
  <w:abstractNum w:abstractNumId="392">
    <w:nsid w:val="2E0D7671"/>
    <w:multiLevelType w:val="hybridMultilevel"/>
    <w:lvl w:ilvl="0">
      <w:lvlJc w:val="left"/>
      <w:lvlText w:val="(%1)"/>
      <w:numFmt w:val="lowerLetter"/>
      <w:start w:val="1"/>
    </w:lvl>
  </w:abstractNum>
  <w:abstractNum w:abstractNumId="393">
    <w:nsid w:val="38B59EFF"/>
    <w:multiLevelType w:val="hybridMultilevel"/>
    <w:lvl w:ilvl="0">
      <w:lvlJc w:val="left"/>
      <w:lvlText w:val="(%1)"/>
      <w:numFmt w:val="lowerLetter"/>
      <w:start w:val="3"/>
    </w:lvl>
  </w:abstractNum>
  <w:abstractNum w:abstractNumId="394">
    <w:nsid w:val="307995CA"/>
    <w:multiLevelType w:val="hybridMultilevel"/>
    <w:lvl w:ilvl="0">
      <w:lvlJc w:val="left"/>
      <w:lvlText w:val="%1"/>
      <w:numFmt w:val="upperLetter"/>
      <w:start w:val="1"/>
    </w:lvl>
    <w:lvl w:ilvl="1">
      <w:lvlJc w:val="left"/>
      <w:lvlText w:val="(%2)"/>
      <w:numFmt w:val="lowerLetter"/>
      <w:start w:val="4"/>
    </w:lvl>
  </w:abstractNum>
  <w:abstractNum w:abstractNumId="395">
    <w:nsid w:val="52E2024D"/>
    <w:multiLevelType w:val="hybridMultilevel"/>
    <w:lvl w:ilvl="0">
      <w:lvlJc w:val="left"/>
      <w:lvlText w:val="(%1)"/>
      <w:numFmt w:val="upperLetter"/>
      <w:start w:val="1"/>
    </w:lvl>
    <w:lvl w:ilvl="1">
      <w:lvlJc w:val="left"/>
      <w:lvlText w:val="(%2)"/>
      <w:numFmt w:val="lowerLetter"/>
      <w:start w:val="6"/>
    </w:lvl>
  </w:abstractNum>
  <w:abstractNum w:abstractNumId="396">
    <w:nsid w:val="CE344B5"/>
    <w:multiLevelType w:val="hybridMultilevel"/>
    <w:lvl w:ilvl="0">
      <w:lvlJc w:val="left"/>
      <w:lvlText w:val="(%1)"/>
      <w:numFmt w:val="upperLetter"/>
      <w:start w:val="1"/>
    </w:lvl>
    <w:lvl w:ilvl="1">
      <w:lvlJc w:val="left"/>
      <w:lvlText w:val="(%2)"/>
      <w:numFmt w:val="lowerLetter"/>
      <w:start w:val="7"/>
    </w:lvl>
  </w:abstractNum>
  <w:abstractNum w:abstractNumId="397">
    <w:nsid w:val="29B0E9A8"/>
    <w:multiLevelType w:val="hybridMultilevel"/>
    <w:lvl w:ilvl="0">
      <w:lvlJc w:val="left"/>
      <w:lvlText w:val="(%1)"/>
      <w:numFmt w:val="lowerLetter"/>
      <w:start w:val="12"/>
    </w:lvl>
  </w:abstractNum>
  <w:abstractNum w:abstractNumId="398">
    <w:nsid w:val="6F49CD8A"/>
    <w:multiLevelType w:val="hybridMultilevel"/>
    <w:lvl w:ilvl="0">
      <w:lvlJc w:val="left"/>
      <w:lvlText w:val="(%1)"/>
      <w:numFmt w:val="lowerLetter"/>
      <w:start w:val="19"/>
    </w:lvl>
  </w:abstractNum>
  <w:abstractNum w:abstractNumId="399">
    <w:nsid w:val="4DC5D907"/>
    <w:multiLevelType w:val="hybridMultilevel"/>
    <w:lvl w:ilvl="0">
      <w:lvlJc w:val="left"/>
      <w:lvlText w:val="(%1)"/>
      <w:numFmt w:val="lowerLetter"/>
      <w:start w:val="26"/>
    </w:lvl>
  </w:abstractNum>
  <w:abstractNum w:abstractNumId="400">
    <w:nsid w:val="D55945E"/>
    <w:multiLevelType w:val="hybridMultilevel"/>
    <w:lvl w:ilvl="0">
      <w:lvlJc w:val="left"/>
      <w:lvlText w:val="(%1)"/>
      <w:numFmt w:val="lowerLetter"/>
      <w:start w:val="27"/>
    </w:lvl>
  </w:abstractNum>
  <w:abstractNum w:abstractNumId="401">
    <w:nsid w:val="672417E1"/>
    <w:multiLevelType w:val="hybridMultilevel"/>
    <w:lvl w:ilvl="0">
      <w:lvlJc w:val="left"/>
      <w:lvlText w:val="(%1)"/>
      <w:numFmt w:val="lowerLetter"/>
      <w:start w:val="1"/>
    </w:lvl>
  </w:abstractNum>
  <w:abstractNum w:abstractNumId="402">
    <w:nsid w:val="5FF6CA09"/>
    <w:multiLevelType w:val="hybridMultilevel"/>
    <w:lvl w:ilvl="0">
      <w:lvlJc w:val="left"/>
      <w:lvlText w:val="%1"/>
      <w:numFmt w:val="upperLetter"/>
      <w:start w:val="1"/>
    </w:lvl>
    <w:lvl w:ilvl="1">
      <w:lvlJc w:val="left"/>
      <w:lvlText w:val="(%2)"/>
      <w:numFmt w:val="lowerLetter"/>
      <w:start w:val="2"/>
    </w:lvl>
  </w:abstractNum>
  <w:abstractNum w:abstractNumId="403">
    <w:nsid w:val="330B1333"/>
    <w:multiLevelType w:val="hybridMultilevel"/>
    <w:lvl w:ilvl="0">
      <w:lvlJc w:val="left"/>
      <w:lvlText w:val="(%1)"/>
      <w:numFmt w:val="upperLetter"/>
      <w:start w:val="1"/>
    </w:lvl>
    <w:lvl w:ilvl="1">
      <w:lvlJc w:val="left"/>
      <w:lvlText w:val="(%2)"/>
      <w:numFmt w:val="lowerLetter"/>
      <w:start w:val="6"/>
    </w:lvl>
  </w:abstractNum>
  <w:abstractNum w:abstractNumId="404">
    <w:nsid w:val="2EF32EA6"/>
    <w:multiLevelType w:val="hybridMultilevel"/>
    <w:lvl w:ilvl="0">
      <w:lvlJc w:val="left"/>
      <w:lvlText w:val="(%1)"/>
      <w:numFmt w:val="lowerLetter"/>
      <w:start w:val="7"/>
    </w:lvl>
  </w:abstractNum>
  <w:abstractNum w:abstractNumId="405">
    <w:nsid w:val="32766A55"/>
    <w:multiLevelType w:val="hybridMultilevel"/>
    <w:lvl w:ilvl="0">
      <w:lvlJc w:val="left"/>
      <w:lvlText w:val="%1"/>
      <w:numFmt w:val="lowerLetter"/>
      <w:start w:val="1"/>
    </w:lvl>
    <w:lvl w:ilvl="1">
      <w:lvlJc w:val="left"/>
      <w:lvlText w:val="(%2)"/>
      <w:numFmt w:val="lowerLetter"/>
      <w:start w:val="14"/>
    </w:lvl>
  </w:abstractNum>
  <w:abstractNum w:abstractNumId="406">
    <w:nsid w:val="22D71957"/>
    <w:multiLevelType w:val="hybridMultilevel"/>
    <w:lvl w:ilvl="0">
      <w:lvlJc w:val="left"/>
      <w:lvlText w:val="(%1)"/>
      <w:numFmt w:val="lowerLetter"/>
      <w:start w:val="25"/>
    </w:lvl>
    <w:lvl w:ilvl="1">
      <w:lvlJc w:val="left"/>
      <w:lvlText w:val="%2"/>
      <w:numFmt w:val="lowerLetter"/>
      <w:start w:val="1"/>
    </w:lvl>
  </w:abstractNum>
  <w:abstractNum w:abstractNumId="407">
    <w:nsid w:val="4CC1263B"/>
    <w:multiLevelType w:val="hybridMultilevel"/>
    <w:lvl w:ilvl="0">
      <w:lvlJc w:val="left"/>
      <w:lvlText w:val="(%1)"/>
      <w:numFmt w:val="lowerLetter"/>
      <w:start w:val="20"/>
    </w:lvl>
  </w:abstractNum>
  <w:abstractNum w:abstractNumId="408">
    <w:nsid w:val="8BBEB1D"/>
    <w:multiLevelType w:val="hybridMultilevel"/>
    <w:lvl w:ilvl="0">
      <w:lvlJc w:val="left"/>
      <w:lvlText w:val="(%1)"/>
      <w:numFmt w:val="lowerLetter"/>
      <w:start w:val="1"/>
    </w:lvl>
  </w:abstractNum>
  <w:abstractNum w:abstractNumId="409">
    <w:nsid w:val="7365F1EE"/>
    <w:multiLevelType w:val="hybridMultilevel"/>
    <w:lvl w:ilvl="0">
      <w:lvlJc w:val="left"/>
      <w:lvlText w:val="(%1)"/>
      <w:numFmt w:val="lowerLetter"/>
      <w:start w:val="4"/>
    </w:lvl>
  </w:abstractNum>
  <w:abstractNum w:abstractNumId="410">
    <w:nsid w:val="37524CF0"/>
    <w:multiLevelType w:val="hybridMultilevel"/>
    <w:lvl w:ilvl="0">
      <w:lvlJc w:val="left"/>
      <w:lvlText w:val="(%1)"/>
      <w:numFmt w:val="lowerLetter"/>
      <w:start w:val="6"/>
    </w:lvl>
  </w:abstractNum>
  <w:abstractNum w:abstractNumId="411">
    <w:nsid w:val="70CC332F"/>
    <w:multiLevelType w:val="hybridMultilevel"/>
    <w:lvl w:ilvl="0">
      <w:lvlJc w:val="left"/>
      <w:lvlText w:val="(%1)"/>
      <w:numFmt w:val="lowerLetter"/>
      <w:start w:val="1"/>
    </w:lvl>
  </w:abstractNum>
  <w:abstractNum w:abstractNumId="412">
    <w:nsid w:val="5661786E"/>
    <w:multiLevelType w:val="hybridMultilevel"/>
    <w:lvl w:ilvl="0">
      <w:lvlJc w:val="left"/>
      <w:lvlText w:val="(%1)"/>
      <w:numFmt w:val="lowerLetter"/>
      <w:start w:val="35"/>
    </w:lvl>
    <w:lvl w:ilvl="1">
      <w:lvlJc w:val="left"/>
      <w:lvlText w:val="(%2)"/>
      <w:numFmt w:val="lowerLetter"/>
      <w:start w:val="6"/>
    </w:lvl>
  </w:abstractNum>
  <w:abstractNum w:abstractNumId="413">
    <w:nsid w:val="3AF6A220"/>
    <w:multiLevelType w:val="hybridMultilevel"/>
    <w:lvl w:ilvl="0">
      <w:lvlJc w:val="left"/>
      <w:lvlText w:val="(%1)"/>
      <w:numFmt w:val="lowerLetter"/>
      <w:start w:val="1"/>
    </w:lvl>
  </w:abstractNum>
  <w:abstractNum w:abstractNumId="414">
    <w:nsid w:val="3C5EA902"/>
    <w:multiLevelType w:val="hybridMultilevel"/>
    <w:lvl w:ilvl="0">
      <w:lvlJc w:val="left"/>
      <w:lvlText w:val="%1"/>
      <w:numFmt w:val="decimal"/>
      <w:start w:val="1"/>
    </w:lvl>
    <w:lvl w:ilvl="1">
      <w:lvlJc w:val="left"/>
      <w:lvlText w:val="(%2)"/>
      <w:numFmt w:val="lowerLetter"/>
      <w:start w:val="2"/>
    </w:lvl>
  </w:abstractNum>
  <w:abstractNum w:abstractNumId="415">
    <w:nsid w:val="256E6749"/>
    <w:multiLevelType w:val="hybridMultilevel"/>
    <w:lvl w:ilvl="0">
      <w:lvlJc w:val="left"/>
      <w:lvlText w:val="(%1)"/>
      <w:numFmt w:val="decimal"/>
      <w:start w:val="10"/>
    </w:lvl>
    <w:lvl w:ilvl="1">
      <w:lvlJc w:val="left"/>
      <w:lvlText w:val="%2"/>
      <w:numFmt w:val="lowerLetter"/>
      <w:start w:val="1"/>
    </w:lvl>
  </w:abstractNum>
  <w:abstractNum w:abstractNumId="416">
    <w:nsid w:val="1CB9A581"/>
    <w:multiLevelType w:val="hybridMultilevel"/>
    <w:lvl w:ilvl="0">
      <w:lvlJc w:val="left"/>
      <w:lvlText w:val="(%1)"/>
      <w:numFmt w:val="lowerLetter"/>
      <w:start w:val="6"/>
    </w:lvl>
  </w:abstractNum>
  <w:abstractNum w:abstractNumId="417">
    <w:nsid w:val="1F7F42E2"/>
    <w:multiLevelType w:val="hybridMultilevel"/>
    <w:lvl w:ilvl="0">
      <w:lvlJc w:val="left"/>
      <w:lvlText w:val="(%1)"/>
      <w:numFmt w:val="lowerLetter"/>
      <w:start w:val="10"/>
    </w:lvl>
  </w:abstractNum>
  <w:abstractNum w:abstractNumId="418">
    <w:nsid w:val="49D1FEA0"/>
    <w:multiLevelType w:val="hybridMultilevel"/>
    <w:lvl w:ilvl="0">
      <w:lvlJc w:val="left"/>
      <w:lvlText w:val="(%1)"/>
      <w:numFmt w:val="lowerLetter"/>
      <w:start w:val="1"/>
    </w:lvl>
  </w:abstractNum>
  <w:abstractNum w:abstractNumId="419">
    <w:nsid w:val="268CB37F"/>
    <w:multiLevelType w:val="hybridMultilevel"/>
    <w:lvl w:ilvl="0">
      <w:lvlJc w:val="left"/>
      <w:lvlText w:val="(%1)"/>
      <w:numFmt w:val="lowerLetter"/>
      <w:start w:val="4"/>
    </w:lvl>
  </w:abstractNum>
  <w:abstractNum w:abstractNumId="420">
    <w:nsid w:val="102362F8"/>
    <w:multiLevelType w:val="hybridMultilevel"/>
    <w:lvl w:ilvl="0">
      <w:lvlJc w:val="left"/>
      <w:lvlText w:val="(%1)"/>
      <w:numFmt w:val="lowerLetter"/>
      <w:start w:val="5"/>
    </w:lvl>
  </w:abstractNum>
  <w:abstractNum w:abstractNumId="421">
    <w:nsid w:val="5FEDC0E3"/>
    <w:multiLevelType w:val="hybridMultilevel"/>
    <w:lvl w:ilvl="0">
      <w:lvlJc w:val="left"/>
      <w:lvlText w:val="(%1)"/>
      <w:numFmt w:val="lowerLetter"/>
      <w:start w:val="7"/>
    </w:lvl>
  </w:abstractNum>
  <w:abstractNum w:abstractNumId="422">
    <w:nsid w:val="3D75BC47"/>
    <w:multiLevelType w:val="hybridMultilevel"/>
    <w:lvl w:ilvl="0">
      <w:lvlJc w:val="left"/>
      <w:lvlText w:val="(%1)"/>
      <w:numFmt w:val="lowerLetter"/>
      <w:start w:val="1"/>
    </w:lvl>
    <w:lvl w:ilvl="1">
      <w:lvlJc w:val="left"/>
      <w:lvlText w:val="(%2)"/>
      <w:numFmt w:val="lowerLetter"/>
      <w:start w:val="35"/>
    </w:lvl>
  </w:abstractNum>
  <w:abstractNum w:abstractNumId="423">
    <w:nsid w:val="3E30D969"/>
    <w:multiLevelType w:val="hybridMultilevel"/>
    <w:lvl w:ilvl="0">
      <w:lvlJc w:val="left"/>
      <w:lvlText w:val="(%1)"/>
      <w:numFmt w:val="lowerRoman"/>
      <w:start w:val="3"/>
    </w:lvl>
  </w:abstractNum>
  <w:abstractNum w:abstractNumId="424">
    <w:nsid w:val="18A35FE3"/>
    <w:multiLevelType w:val="hybridMultilevel"/>
    <w:lvl w:ilvl="0">
      <w:lvlJc w:val="left"/>
      <w:lvlText w:val="(%1)"/>
      <w:numFmt w:val="lowerLetter"/>
      <w:start w:val="2"/>
    </w:lvl>
    <w:lvl w:ilvl="1">
      <w:lvlJc w:val="left"/>
      <w:lvlText w:val="(%2)"/>
      <w:numFmt w:val="lowerRoman"/>
      <w:start w:val="1"/>
    </w:lvl>
  </w:abstractNum>
  <w:abstractNum w:abstractNumId="425">
    <w:nsid w:val="6DEF5211"/>
    <w:multiLevelType w:val="hybridMultilevel"/>
    <w:lvl w:ilvl="0">
      <w:lvlJc w:val="left"/>
      <w:lvlText w:val="%1"/>
      <w:numFmt w:val="lowerLetter"/>
      <w:start w:val="1"/>
    </w:lvl>
    <w:lvl w:ilvl="1">
      <w:lvlJc w:val="left"/>
      <w:lvlText w:val="(%2)"/>
      <w:numFmt w:val="lowerLetter"/>
      <w:start w:val="3"/>
    </w:lvl>
  </w:abstractNum>
  <w:abstractNum w:abstractNumId="426">
    <w:nsid w:val="1112DBB6"/>
    <w:multiLevelType w:val="hybridMultilevel"/>
    <w:lvl w:ilvl="0">
      <w:lvlJc w:val="left"/>
      <w:lvlText w:val="(%1)"/>
      <w:numFmt w:val="lowerLetter"/>
      <w:start w:val="2"/>
    </w:lvl>
    <w:lvl w:ilvl="1">
      <w:lvlJc w:val="left"/>
      <w:lvlText w:val="(%2)"/>
      <w:numFmt w:val="lowerLetter"/>
      <w:start w:val="6"/>
    </w:lvl>
  </w:abstractNum>
  <w:abstractNum w:abstractNumId="427">
    <w:nsid w:val="2586A498"/>
    <w:multiLevelType w:val="hybridMultilevel"/>
    <w:lvl w:ilvl="0">
      <w:lvlJc w:val="left"/>
      <w:lvlText w:val="(%1)"/>
      <w:numFmt w:val="lowerLetter"/>
      <w:start w:val="8"/>
    </w:lvl>
  </w:abstractNum>
  <w:abstractNum w:abstractNumId="428">
    <w:nsid w:val="17A03BB9"/>
    <w:multiLevelType w:val="hybridMultilevel"/>
    <w:lvl w:ilvl="0">
      <w:lvlJc w:val="left"/>
      <w:lvlText w:val="(%1)"/>
      <w:numFmt w:val="lowerLetter"/>
      <w:start w:val="1"/>
    </w:lvl>
  </w:abstractNum>
  <w:abstractNum w:abstractNumId="429">
    <w:nsid w:val="5CA941"/>
    <w:multiLevelType w:val="hybridMultilevel"/>
    <w:lvl w:ilvl="0">
      <w:lvlJc w:val="left"/>
      <w:lvlText w:val="%1"/>
      <w:numFmt w:val="lowerLetter"/>
      <w:start w:val="1"/>
    </w:lvl>
    <w:lvl w:ilvl="1">
      <w:lvlJc w:val="left"/>
      <w:lvlText w:val="(%2)"/>
      <w:numFmt w:val="lowerLetter"/>
      <w:start w:val="4"/>
    </w:lvl>
  </w:abstractNum>
  <w:abstractNum w:abstractNumId="430">
    <w:nsid w:val="734C7D9F"/>
    <w:multiLevelType w:val="hybridMultilevel"/>
    <w:lvl w:ilvl="0">
      <w:lvlJc w:val="left"/>
      <w:lvlText w:val="(%1)"/>
      <w:numFmt w:val="lowerLetter"/>
      <w:start w:val="61"/>
    </w:lvl>
    <w:lvl w:ilvl="1">
      <w:lvlJc w:val="left"/>
      <w:lvlText w:val="%2"/>
      <w:numFmt w:val="lowerLetter"/>
      <w:start w:val="1"/>
    </w:lvl>
  </w:abstractNum>
  <w:abstractNum w:abstractNumId="431">
    <w:nsid w:val="24F5D018"/>
    <w:multiLevelType w:val="hybridMultilevel"/>
    <w:lvl w:ilvl="0">
      <w:lvlJc w:val="left"/>
      <w:lvlText w:val="(%1)"/>
      <w:numFmt w:val="lowerLetter"/>
      <w:start w:val="7"/>
    </w:lvl>
  </w:abstractNum>
  <w:abstractNum w:abstractNumId="432">
    <w:nsid w:val="6780C122"/>
    <w:multiLevelType w:val="hybridMultilevel"/>
    <w:lvl w:ilvl="0">
      <w:lvlJc w:val="left"/>
      <w:lvlText w:val="(%1)"/>
      <w:numFmt w:val="lowerLetter"/>
      <w:start w:val="1"/>
    </w:lvl>
    <w:lvl w:ilvl="1">
      <w:lvlJc w:val="left"/>
      <w:lvlText w:val="(%2)"/>
      <w:numFmt w:val="lowerLetter"/>
      <w:start w:val="9"/>
    </w:lvl>
  </w:abstractNum>
  <w:abstractNum w:abstractNumId="433">
    <w:nsid w:val="534347A8"/>
    <w:multiLevelType w:val="hybridMultilevel"/>
    <w:lvl w:ilvl="0">
      <w:lvlJc w:val="left"/>
      <w:lvlText w:val="(%1)"/>
      <w:numFmt w:val="lowerRoman"/>
      <w:start w:val="2"/>
    </w:lvl>
  </w:abstractNum>
  <w:abstractNum w:abstractNumId="434">
    <w:nsid w:val="5800E34B"/>
    <w:multiLevelType w:val="hybridMultilevel"/>
    <w:lvl w:ilvl="0">
      <w:lvlJc w:val="left"/>
      <w:lvlText w:val="(%1)"/>
      <w:numFmt w:val="lowerRoman"/>
      <w:start w:val="9"/>
    </w:lvl>
  </w:abstractNum>
  <w:abstractNum w:abstractNumId="435">
    <w:nsid w:val="1673EFC8"/>
    <w:multiLevelType w:val="hybridMultilevel"/>
    <w:lvl w:ilvl="0">
      <w:lvlJc w:val="left"/>
      <w:lvlText w:val="%1"/>
      <w:numFmt w:val="lowerLetter"/>
      <w:start w:val="1"/>
    </w:lvl>
    <w:lvl w:ilvl="1">
      <w:lvlJc w:val="left"/>
      <w:lvlText w:val="(%2)"/>
      <w:numFmt w:val="lowerRoman"/>
      <w:start w:val="17"/>
    </w:lvl>
  </w:abstractNum>
  <w:abstractNum w:abstractNumId="436">
    <w:nsid w:val="5B9B1FD"/>
    <w:multiLevelType w:val="hybridMultilevel"/>
    <w:lvl w:ilvl="0">
      <w:lvlJc w:val="left"/>
      <w:lvlText w:val="(%1)"/>
      <w:numFmt w:val="lowerLetter"/>
      <w:start w:val="2"/>
    </w:lvl>
    <w:lvl w:ilvl="1">
      <w:lvlJc w:val="left"/>
      <w:lvlText w:val="(%2)"/>
      <w:numFmt w:val="lowerRoman"/>
      <w:start w:val="1"/>
    </w:lvl>
  </w:abstractNum>
  <w:abstractNum w:abstractNumId="437">
    <w:nsid w:val="7AD7FCA2"/>
    <w:multiLevelType w:val="hybridMultilevel"/>
    <w:lvl w:ilvl="0">
      <w:lvlJc w:val="left"/>
      <w:lvlText w:val="%1"/>
      <w:numFmt w:val="upperLetter"/>
      <w:start w:val="61"/>
    </w:lvl>
    <w:lvl w:ilvl="1">
      <w:lvlJc w:val="left"/>
      <w:lvlText w:val="(%2)"/>
      <w:numFmt w:val="lowerRoman"/>
      <w:start w:val="8"/>
    </w:lvl>
  </w:abstractNum>
  <w:abstractNum w:abstractNumId="438">
    <w:nsid w:val="63351604"/>
    <w:multiLevelType w:val="hybridMultilevel"/>
    <w:lvl w:ilvl="0">
      <w:lvlJc w:val="left"/>
      <w:lvlText w:val="(%1)"/>
      <w:numFmt w:val="lowerLetter"/>
      <w:start w:val="3"/>
    </w:lvl>
  </w:abstractNum>
  <w:abstractNum w:abstractNumId="439">
    <w:nsid w:val="E759D1A"/>
    <w:multiLevelType w:val="hybridMultilevel"/>
    <w:lvl w:ilvl="0">
      <w:lvlJc w:val="left"/>
      <w:lvlText w:val="(%1)"/>
      <w:numFmt w:val="lowerLetter"/>
      <w:start w:val="1"/>
    </w:lvl>
  </w:abstractNum>
  <w:abstractNum w:abstractNumId="440">
    <w:nsid w:val="6E3DEE90"/>
    <w:multiLevelType w:val="hybridMultilevel"/>
    <w:lvl w:ilvl="0">
      <w:lvlJc w:val="left"/>
      <w:lvlText w:val="(%1)"/>
      <w:numFmt w:val="lowerLetter"/>
      <w:start w:val="3"/>
    </w:lvl>
  </w:abstractNum>
  <w:abstractNum w:abstractNumId="441">
    <w:nsid w:val="1A8762F4"/>
    <w:multiLevelType w:val="hybridMultilevel"/>
    <w:lvl w:ilvl="0">
      <w:lvlJc w:val="left"/>
      <w:lvlText w:val="(%1)"/>
      <w:numFmt w:val="lowerLetter"/>
      <w:start w:val="1"/>
    </w:lvl>
  </w:abstractNum>
  <w:abstractNum w:abstractNumId="442">
    <w:nsid w:val="7F41D049"/>
    <w:multiLevelType w:val="hybridMultilevel"/>
    <w:lvl w:ilvl="0">
      <w:lvlJc w:val="left"/>
      <w:lvlText w:val="(%1)"/>
      <w:numFmt w:val="lowerLetter"/>
      <w:start w:val="2"/>
    </w:lvl>
  </w:abstractNum>
  <w:abstractNum w:abstractNumId="443">
    <w:nsid w:val="449F66FE"/>
    <w:multiLevelType w:val="hybridMultilevel"/>
    <w:lvl w:ilvl="0">
      <w:lvlJc w:val="left"/>
      <w:lvlText w:val="(%1)"/>
      <w:numFmt w:val="lowerLetter"/>
      <w:start w:val="1"/>
    </w:lvl>
  </w:abstractNum>
  <w:abstractNum w:abstractNumId="444">
    <w:nsid w:val="557E0515"/>
    <w:multiLevelType w:val="hybridMultilevel"/>
    <w:lvl w:ilvl="0">
      <w:lvlJc w:val="left"/>
      <w:lvlText w:val="(%1)"/>
      <w:numFmt w:val="lowerLetter"/>
      <w:start w:val="1"/>
    </w:lvl>
  </w:abstractNum>
  <w:abstractNum w:abstractNumId="445">
    <w:nsid w:val="3BA0794B"/>
    <w:multiLevelType w:val="hybridMultilevel"/>
    <w:lvl w:ilvl="0">
      <w:lvlJc w:val="left"/>
      <w:lvlText w:val="(%1)"/>
      <w:numFmt w:val="upperLetter"/>
      <w:start w:val="61"/>
    </w:lvl>
  </w:abstractNum>
  <w:abstractNum w:abstractNumId="446">
    <w:nsid w:val="6A0DCE48"/>
    <w:multiLevelType w:val="hybridMultilevel"/>
    <w:lvl w:ilvl="0">
      <w:lvlJc w:val="left"/>
      <w:lvlText w:val="(%1)"/>
      <w:numFmt w:val="lowerLetter"/>
      <w:start w:val="1"/>
    </w:lvl>
    <w:lvl w:ilvl="1">
      <w:lvlJc w:val="left"/>
      <w:lvlText w:val="(%2)"/>
      <w:numFmt w:val="lowerRoman"/>
      <w:start w:val="1"/>
    </w:lvl>
  </w:abstractNum>
  <w:abstractNum w:abstractNumId="447">
    <w:nsid w:val="7237AA96"/>
    <w:multiLevelType w:val="hybridMultilevel"/>
    <w:lvl w:ilvl="0">
      <w:lvlJc w:val="left"/>
      <w:lvlText w:val="(%1)"/>
      <w:numFmt w:val="lowerLetter"/>
      <w:start w:val="3"/>
    </w:lvl>
  </w:abstractNum>
  <w:abstractNum w:abstractNumId="448">
    <w:nsid w:val="5B1FBC2D"/>
    <w:multiLevelType w:val="hybridMultilevel"/>
    <w:lvl w:ilvl="0">
      <w:lvlJc w:val="left"/>
      <w:lvlText w:val="%1"/>
      <w:numFmt w:val="lowerLetter"/>
      <w:start w:val="1"/>
    </w:lvl>
    <w:lvl w:ilvl="1">
      <w:lvlJc w:val="left"/>
      <w:lvlText w:val="(%2)"/>
      <w:numFmt w:val="lowerLetter"/>
      <w:start w:val="6"/>
    </w:lvl>
  </w:abstractNum>
  <w:abstractNum w:abstractNumId="449">
    <w:nsid w:val="33DFCCE8"/>
    <w:multiLevelType w:val="hybridMultilevel"/>
    <w:lvl w:ilvl="0">
      <w:lvlJc w:val="left"/>
      <w:lvlText w:val="(%1)"/>
      <w:numFmt w:val="lowerLetter"/>
      <w:start w:val="35"/>
    </w:lvl>
    <w:lvl w:ilvl="1">
      <w:lvlJc w:val="left"/>
      <w:lvlText w:val="(%2)"/>
      <w:numFmt w:val="lowerLetter"/>
      <w:start w:val="10"/>
    </w:lvl>
  </w:abstractNum>
  <w:abstractNum w:abstractNumId="450">
    <w:nsid w:val="18C45E15"/>
    <w:multiLevelType w:val="hybridMultilevel"/>
    <w:lvl w:ilvl="0">
      <w:lvlJc w:val="left"/>
      <w:lvlText w:val="%1"/>
      <w:numFmt w:val="decimal"/>
      <w:start w:val="1"/>
    </w:lvl>
    <w:lvl w:ilvl="1">
      <w:lvlJc w:val="left"/>
      <w:lvlText w:val="(%2)"/>
      <w:numFmt w:val="lowerLetter"/>
      <w:start w:val="17"/>
    </w:lvl>
  </w:abstractNum>
  <w:abstractNum w:abstractNumId="451">
    <w:nsid w:val="6B431F25"/>
    <w:multiLevelType w:val="hybridMultilevel"/>
    <w:lvl w:ilvl="0">
      <w:lvlJc w:val="left"/>
      <w:lvlText w:val="(%1)"/>
      <w:numFmt w:val="decimal"/>
      <w:start w:val="30"/>
    </w:lvl>
    <w:lvl w:ilvl="1">
      <w:lvlJc w:val="left"/>
      <w:lvlText w:val="(%2)"/>
      <w:numFmt w:val="lowerLetter"/>
      <w:start w:val="22"/>
    </w:lvl>
  </w:abstractNum>
  <w:abstractNum w:abstractNumId="452">
    <w:nsid w:val="13CD8DCB"/>
    <w:multiLevelType w:val="hybridMultilevel"/>
    <w:lvl w:ilvl="0">
      <w:lvlJc w:val="left"/>
      <w:lvlText w:val="(%1)"/>
      <w:numFmt w:val="lowerLetter"/>
      <w:start w:val="1"/>
    </w:lvl>
  </w:abstractNum>
  <w:abstractNum w:abstractNumId="453">
    <w:nsid w:val="563A1A5C"/>
    <w:multiLevelType w:val="hybridMultilevel"/>
    <w:lvl w:ilvl="0">
      <w:lvlJc w:val="left"/>
      <w:lvlText w:val="(%1)"/>
      <w:numFmt w:val="lowerLetter"/>
      <w:start w:val="2"/>
    </w:lvl>
  </w:abstractNum>
  <w:abstractNum w:abstractNumId="454">
    <w:nsid w:val="2973F88F"/>
    <w:multiLevelType w:val="hybridMultilevel"/>
    <w:lvl w:ilvl="0">
      <w:lvlJc w:val="left"/>
      <w:lvlText w:val="(%1)"/>
      <w:numFmt w:val="lowerRoman"/>
      <w:start w:val="2"/>
    </w:lvl>
  </w:abstractNum>
  <w:abstractNum w:abstractNumId="455">
    <w:nsid w:val="2C70EDAE"/>
    <w:multiLevelType w:val="hybridMultilevel"/>
    <w:lvl w:ilvl="0">
      <w:lvlJc w:val="left"/>
      <w:lvlText w:val="(%1)"/>
      <w:numFmt w:val="upperLetter"/>
      <w:start w:val="35"/>
    </w:lvl>
  </w:abstractNum>
  <w:abstractNum w:abstractNumId="456">
    <w:nsid w:val="44296C6D"/>
    <w:multiLevelType w:val="hybridMultilevel"/>
    <w:lvl w:ilvl="0">
      <w:lvlJc w:val="left"/>
      <w:lvlText w:val="(%1)"/>
      <w:numFmt w:val="upperLetter"/>
      <w:start w:val="22"/>
    </w:lvl>
  </w:abstractNum>
  <w:abstractNum w:abstractNumId="457">
    <w:nsid w:val="3A86D445"/>
    <w:multiLevelType w:val="hybridMultilevel"/>
    <w:lvl w:ilvl="0">
      <w:lvlJc w:val="left"/>
      <w:lvlText w:val="(%1)"/>
      <w:numFmt w:val="lowerLetter"/>
      <w:start w:val="1"/>
    </w:lvl>
    <w:lvl w:ilvl="1">
      <w:lvlJc w:val="left"/>
      <w:lvlText w:val="(%2)"/>
      <w:numFmt w:val="lowerRoman"/>
      <w:start w:val="1"/>
    </w:lvl>
  </w:abstractNum>
  <w:abstractNum w:abstractNumId="458">
    <w:nsid w:val="51F79246"/>
    <w:multiLevelType w:val="hybridMultilevel"/>
    <w:lvl w:ilvl="0">
      <w:lvlJc w:val="left"/>
      <w:lvlText w:val="(%1)"/>
      <w:numFmt w:val="lowerRoman"/>
      <w:start w:val="4"/>
    </w:lvl>
  </w:abstractNum>
  <w:abstractNum w:abstractNumId="459">
    <w:nsid w:val="5BC9A827"/>
    <w:multiLevelType w:val="hybridMultilevel"/>
    <w:lvl w:ilvl="0">
      <w:lvlJc w:val="left"/>
      <w:lvlText w:val="%1"/>
      <w:numFmt w:val="lowerLetter"/>
      <w:start w:val="1"/>
    </w:lvl>
    <w:lvl w:ilvl="1">
      <w:lvlJc w:val="left"/>
      <w:lvlText w:val="(%2)"/>
      <w:numFmt w:val="lowerRoman"/>
      <w:start w:val="12"/>
    </w:lvl>
  </w:abstractNum>
  <w:abstractNum w:abstractNumId="460">
    <w:nsid w:val="3AE37D86"/>
    <w:multiLevelType w:val="hybridMultilevel"/>
    <w:lvl w:ilvl="0">
      <w:lvlJc w:val="left"/>
      <w:lvlText w:val="(%1)"/>
      <w:numFmt w:val="lowerLetter"/>
      <w:start w:val="2"/>
    </w:lvl>
    <w:lvl w:ilvl="1">
      <w:lvlJc w:val="left"/>
      <w:lvlText w:val="%2"/>
      <w:numFmt w:val="lowerRoman"/>
      <w:start w:val="1"/>
    </w:lvl>
  </w:abstractNum>
  <w:abstractNum w:abstractNumId="461">
    <w:nsid w:val="45440FE5"/>
    <w:multiLevelType w:val="hybridMultilevel"/>
    <w:lvl w:ilvl="0">
      <w:lvlJc w:val="left"/>
      <w:lvlText w:val="(%1)"/>
      <w:numFmt w:val="lowerLetter"/>
      <w:start w:val="3"/>
    </w:lvl>
  </w:abstractNum>
  <w:abstractNum w:abstractNumId="462">
    <w:nsid w:val="BF783F"/>
    <w:multiLevelType w:val="hybridMultilevel"/>
    <w:lvl w:ilvl="0">
      <w:lvlJc w:val="left"/>
      <w:lvlText w:val="(%1)"/>
      <w:numFmt w:val="lowerLetter"/>
      <w:start w:val="1"/>
    </w:lvl>
  </w:abstractNum>
  <w:abstractNum w:abstractNumId="463">
    <w:nsid w:val="22643EA9"/>
    <w:multiLevelType w:val="hybridMultilevel"/>
    <w:lvl w:ilvl="0">
      <w:lvlJc w:val="left"/>
      <w:lvlText w:val="(%1)"/>
      <w:numFmt w:val="lowerLetter"/>
      <w:start w:val="4"/>
    </w:lvl>
    <w:lvl w:ilvl="1">
      <w:lvlJc w:val="left"/>
      <w:lvlText w:val="(%2)"/>
      <w:numFmt w:val="lowerRoman"/>
      <w:start w:val="1"/>
    </w:lvl>
  </w:abstractNum>
  <w:abstractNum w:abstractNumId="464">
    <w:nsid w:val="1887578D"/>
    <w:multiLevelType w:val="hybridMultilevel"/>
    <w:lvl w:ilvl="0">
      <w:lvlJc w:val="left"/>
      <w:lvlText w:val="(%1)"/>
      <w:numFmt w:val="lowerLetter"/>
      <w:start w:val="1"/>
    </w:lvl>
  </w:abstractNum>
  <w:abstractNum w:abstractNumId="465">
    <w:nsid w:val="58C05B8A"/>
    <w:multiLevelType w:val="hybridMultilevel"/>
    <w:lvl w:ilvl="0">
      <w:lvlJc w:val="left"/>
      <w:lvlText w:val="(%1)"/>
      <w:numFmt w:val="lowerLetter"/>
      <w:start w:val="1"/>
    </w:lvl>
    <w:lvl w:ilvl="1">
      <w:lvlJc w:val="left"/>
      <w:lvlText w:val="(%2)"/>
      <w:numFmt w:val="lowerLetter"/>
      <w:start w:val="9"/>
    </w:lvl>
  </w:abstractNum>
  <w:abstractNum w:abstractNumId="466">
    <w:nsid w:val="38D82E71"/>
    <w:multiLevelType w:val="hybridMultilevel"/>
    <w:lvl w:ilvl="0">
      <w:lvlJc w:val="left"/>
      <w:lvlText w:val="%1"/>
      <w:numFmt w:val="lowerLetter"/>
      <w:start w:val="1"/>
    </w:lvl>
    <w:lvl w:ilvl="1">
      <w:lvlJc w:val="left"/>
      <w:lvlText w:val="(%2)"/>
      <w:numFmt w:val="lowerLetter"/>
      <w:start w:val="35"/>
    </w:lvl>
  </w:abstractNum>
  <w:abstractNum w:abstractNumId="467">
    <w:nsid w:val="1E41098A"/>
    <w:multiLevelType w:val="hybridMultilevel"/>
    <w:lvl w:ilvl="0">
      <w:lvlJc w:val="left"/>
      <w:lvlText w:val="(%1)"/>
      <w:numFmt w:val="lowerLetter"/>
      <w:start w:val="2"/>
    </w:lvl>
    <w:lvl w:ilvl="1">
      <w:lvlJc w:val="left"/>
      <w:lvlText w:val="%2"/>
      <w:numFmt w:val="lowerLetter"/>
      <w:start w:val="1"/>
    </w:lvl>
  </w:abstractNum>
  <w:abstractNum w:abstractNumId="468">
    <w:nsid w:val="5398582C"/>
    <w:multiLevelType w:val="hybridMultilevel"/>
    <w:lvl w:ilvl="0">
      <w:lvlJc w:val="left"/>
      <w:lvlText w:val="(%1)"/>
      <w:numFmt w:val="lowerLetter"/>
      <w:start w:val="1"/>
    </w:lvl>
    <w:lvl w:ilvl="1">
      <w:lvlJc w:val="left"/>
      <w:lvlText w:val="(%2)"/>
      <w:numFmt w:val="lowerRoman"/>
      <w:start w:val="1"/>
    </w:lvl>
  </w:abstractNum>
  <w:abstractNum w:abstractNumId="469">
    <w:nsid w:val="1C0D4475"/>
    <w:multiLevelType w:val="hybridMultilevel"/>
    <w:lvl w:ilvl="0">
      <w:lvlJc w:val="left"/>
      <w:lvlText w:val="%1"/>
      <w:numFmt w:val="lowerLetter"/>
      <w:start w:val="1"/>
    </w:lvl>
    <w:lvl w:ilvl="1">
      <w:lvlJc w:val="left"/>
      <w:lvlText w:val="(%2)"/>
      <w:numFmt w:val="lowerLetter"/>
      <w:start w:val="2"/>
    </w:lvl>
  </w:abstractNum>
  <w:abstractNum w:abstractNumId="470">
    <w:nsid w:val="2CB6A6A4"/>
    <w:multiLevelType w:val="hybridMultilevel"/>
    <w:lvl w:ilvl="0">
      <w:lvlJc w:val="left"/>
      <w:lvlText w:val="(%1)"/>
      <w:numFmt w:val="lowerLetter"/>
      <w:start w:val="35"/>
    </w:lvl>
    <w:lvl w:ilvl="1">
      <w:lvlJc w:val="left"/>
      <w:lvlText w:val="%2"/>
      <w:numFmt w:val="lowerLetter"/>
      <w:start w:val="1"/>
    </w:lvl>
  </w:abstractNum>
  <w:abstractNum w:abstractNumId="471">
    <w:nsid w:val="41D646BC"/>
    <w:multiLevelType w:val="hybridMultilevel"/>
    <w:lvl w:ilvl="0">
      <w:lvlJc w:val="left"/>
      <w:lvlText w:val="(%1)"/>
      <w:numFmt w:val="lowerLetter"/>
      <w:start w:val="1"/>
    </w:lvl>
  </w:abstractNum>
  <w:abstractNum w:abstractNumId="472">
    <w:nsid w:val="3694A76A"/>
    <w:multiLevelType w:val="hybridMultilevel"/>
    <w:lvl w:ilvl="0">
      <w:lvlJc w:val="left"/>
      <w:lvlText w:val="(%1)"/>
      <w:numFmt w:val="lowerLetter"/>
      <w:start w:val="1"/>
    </w:lvl>
  </w:abstractNum>
  <w:abstractNum w:abstractNumId="473">
    <w:nsid w:val="2BF876EE"/>
    <w:multiLevelType w:val="hybridMultilevel"/>
    <w:lvl w:ilvl="0">
      <w:lvlJc w:val="left"/>
      <w:lvlText w:val="(%1)"/>
      <w:numFmt w:val="lowerLetter"/>
      <w:start w:val="1"/>
    </w:lvl>
  </w:abstractNum>
  <w:abstractNum w:abstractNumId="474">
    <w:nsid w:val="675ADBA"/>
    <w:multiLevelType w:val="hybridMultilevel"/>
    <w:lvl w:ilvl="0">
      <w:lvlJc w:val="left"/>
      <w:lvlText w:val="(%1)"/>
      <w:numFmt w:val="lowerLetter"/>
      <w:start w:val="1"/>
    </w:lvl>
  </w:abstractNum>
  <w:abstractNum w:abstractNumId="475">
    <w:nsid w:val="C12AC7F"/>
    <w:multiLevelType w:val="hybridMultilevel"/>
    <w:lvl w:ilvl="0">
      <w:lvlJc w:val="left"/>
      <w:lvlText w:val="(%1)"/>
      <w:numFmt w:val="lowerLetter"/>
      <w:start w:val="3"/>
    </w:lvl>
  </w:abstractNum>
  <w:abstractNum w:abstractNumId="476">
    <w:nsid w:val="6798F039"/>
    <w:multiLevelType w:val="hybridMultilevel"/>
    <w:lvl w:ilvl="0">
      <w:lvlJc w:val="left"/>
      <w:lvlText w:val="(%1)"/>
      <w:numFmt w:val="lowerLetter"/>
      <w:start w:val="13"/>
    </w:lvl>
  </w:abstractNum>
  <w:abstractNum w:abstractNumId="477">
    <w:nsid w:val="70837C02"/>
    <w:multiLevelType w:val="hybridMultilevel"/>
    <w:lvl w:ilvl="0">
      <w:lvlJc w:val="left"/>
      <w:lvlText w:val="%1"/>
      <w:numFmt w:val="lowerLetter"/>
      <w:start w:val="1"/>
    </w:lvl>
    <w:lvl w:ilvl="1">
      <w:lvlJc w:val="left"/>
      <w:lvlText w:val="(%2)"/>
      <w:numFmt w:val="lowerLetter"/>
      <w:start w:val="1"/>
    </w:lvl>
  </w:abstractNum>
  <w:abstractNum w:abstractNumId="478">
    <w:nsid w:val="7E4A5715"/>
    <w:multiLevelType w:val="hybridMultilevel"/>
    <w:lvl w:ilvl="0">
      <w:lvlJc w:val="left"/>
      <w:lvlText w:val="(%1)"/>
      <w:numFmt w:val="lowerLetter"/>
      <w:start w:val="61"/>
    </w:lvl>
    <w:lvl w:ilvl="1">
      <w:lvlJc w:val="left"/>
      <w:lvlText w:val="%2"/>
      <w:numFmt w:val="lowerLetter"/>
      <w:start w:val="1"/>
    </w:lvl>
  </w:abstractNum>
  <w:abstractNum w:abstractNumId="479">
    <w:nsid w:val="42B8AC67"/>
    <w:multiLevelType w:val="hybridMultilevel"/>
    <w:lvl w:ilvl="0">
      <w:lvlJc w:val="left"/>
      <w:lvlText w:val="(%1)"/>
      <w:numFmt w:val="lowerLetter"/>
      <w:start w:val="2"/>
    </w:lvl>
  </w:abstractNum>
  <w:abstractNum w:abstractNumId="480">
    <w:nsid w:val="246348EA"/>
    <w:multiLevelType w:val="hybridMultilevel"/>
    <w:lvl w:ilvl="0">
      <w:lvlJc w:val="left"/>
      <w:lvlText w:val="(%1)"/>
      <w:numFmt w:val="lowerLetter"/>
      <w:start w:val="1"/>
    </w:lvl>
  </w:abstractNum>
  <w:abstractNum w:abstractNumId="481">
    <w:nsid w:val="170EB52B"/>
    <w:multiLevelType w:val="hybridMultilevel"/>
    <w:lvl w:ilvl="0">
      <w:lvlJc w:val="left"/>
      <w:lvlText w:val="(%1)"/>
      <w:numFmt w:val="lowerRoman"/>
      <w:start w:val="1"/>
    </w:lvl>
  </w:abstractNum>
  <w:abstractNum w:abstractNumId="482">
    <w:nsid w:val="2DFBCB8C"/>
    <w:multiLevelType w:val="hybridMultilevel"/>
    <w:lvl w:ilvl="0">
      <w:lvlJc w:val="left"/>
      <w:lvlText w:val="(%1)"/>
      <w:numFmt w:val="lowerLetter"/>
      <w:start w:val="1"/>
    </w:lvl>
  </w:abstractNum>
  <w:abstractNum w:abstractNumId="483">
    <w:nsid w:val="3830D6B6"/>
    <w:multiLevelType w:val="hybridMultilevel"/>
    <w:lvl w:ilvl="0">
      <w:lvlJc w:val="left"/>
      <w:lvlText w:val="(%1)"/>
      <w:numFmt w:val="lowerLetter"/>
      <w:start w:val="1"/>
    </w:lvl>
  </w:abstractNum>
  <w:abstractNum w:abstractNumId="484">
    <w:nsid w:val="6D48CF87"/>
    <w:multiLevelType w:val="hybridMultilevel"/>
    <w:lvl w:ilvl="0">
      <w:lvlJc w:val="left"/>
      <w:lvlText w:val="(%1)"/>
      <w:numFmt w:val="lowerLetter"/>
      <w:start w:val="5"/>
    </w:lvl>
  </w:abstractNum>
  <w:abstractNum w:abstractNumId="485">
    <w:nsid w:val="576FC41B"/>
    <w:multiLevelType w:val="hybridMultilevel"/>
    <w:lvl w:ilvl="0">
      <w:lvlJc w:val="left"/>
      <w:lvlText w:val="(%1)"/>
      <w:numFmt w:val="lowerLetter"/>
      <w:start w:val="1"/>
    </w:lvl>
  </w:abstractNum>
  <w:abstractNum w:abstractNumId="486">
    <w:nsid w:val="64A1C464"/>
    <w:multiLevelType w:val="hybridMultilevel"/>
    <w:lvl w:ilvl="0">
      <w:lvlJc w:val="left"/>
      <w:lvlText w:val="(%1)"/>
      <w:numFmt w:val="lowerLetter"/>
      <w:start w:val="3"/>
    </w:lvl>
  </w:abstractNum>
  <w:abstractNum w:abstractNumId="487">
    <w:nsid w:val="31723BF5"/>
    <w:multiLevelType w:val="hybridMultilevel"/>
    <w:lvl w:ilvl="0">
      <w:lvlJc w:val="left"/>
      <w:lvlText w:val="(%1)"/>
      <w:numFmt w:val="lowerLetter"/>
      <w:start w:val="1"/>
    </w:lvl>
  </w:abstractNum>
  <w:abstractNum w:abstractNumId="488">
    <w:nsid w:val="11F69861"/>
    <w:multiLevelType w:val="hybridMultilevel"/>
    <w:lvl w:ilvl="0">
      <w:lvlJc w:val="left"/>
      <w:lvlText w:val="(%1)"/>
      <w:numFmt w:val="lowerLetter"/>
      <w:start w:val="1"/>
    </w:lvl>
    <w:lvl w:ilvl="1">
      <w:lvlJc w:val="left"/>
      <w:lvlText w:val="(%2)"/>
      <w:numFmt w:val="lowerRoman"/>
      <w:start w:val="1"/>
    </w:lvl>
  </w:abstractNum>
  <w:abstractNum w:abstractNumId="489">
    <w:nsid w:val="369956AB"/>
    <w:multiLevelType w:val="hybridMultilevel"/>
    <w:lvl w:ilvl="0">
      <w:lvlJc w:val="left"/>
      <w:lvlText w:val="(%1)"/>
      <w:numFmt w:val="lowerLetter"/>
      <w:start w:val="2"/>
    </w:lvl>
  </w:abstractNum>
  <w:abstractNum w:abstractNumId="490">
    <w:nsid w:val="D3BE41C"/>
    <w:multiLevelType w:val="hybridMultilevel"/>
    <w:lvl w:ilvl="0">
      <w:lvlJc w:val="left"/>
      <w:lvlText w:val="(%1)"/>
      <w:numFmt w:val="lowerLetter"/>
      <w:start w:val="3"/>
    </w:lvl>
  </w:abstractNum>
  <w:abstractNum w:abstractNumId="491">
    <w:nsid w:val="4CDA15E7"/>
    <w:multiLevelType w:val="hybridMultilevel"/>
    <w:lvl w:ilvl="0">
      <w:lvlJc w:val="left"/>
      <w:lvlText w:val="(%1)"/>
      <w:numFmt w:val="lowerLetter"/>
      <w:start w:val="1"/>
    </w:lvl>
  </w:abstractNum>
  <w:abstractNum w:abstractNumId="492">
    <w:nsid w:val="7BDD6690"/>
    <w:multiLevelType w:val="hybridMultilevel"/>
    <w:lvl w:ilvl="0">
      <w:lvlJc w:val="left"/>
      <w:lvlText w:val="(%1)"/>
      <w:numFmt w:val="lowerLetter"/>
      <w:start w:val="1"/>
    </w:lvl>
  </w:abstractNum>
  <w:abstractNum w:abstractNumId="493">
    <w:nsid w:val="DFB5C5B"/>
    <w:multiLevelType w:val="hybridMultilevel"/>
    <w:lvl w:ilvl="0">
      <w:lvlJc w:val="left"/>
      <w:lvlText w:val="(%1)"/>
      <w:numFmt w:val="lowerLetter"/>
      <w:start w:val="1"/>
    </w:lvl>
  </w:abstractNum>
  <w:abstractNum w:abstractNumId="494">
    <w:nsid w:val="6F3E5490"/>
    <w:multiLevelType w:val="hybridMultilevel"/>
    <w:lvl w:ilvl="0">
      <w:lvlJc w:val="left"/>
      <w:lvlText w:val="(%1)"/>
      <w:numFmt w:val="lowerRoman"/>
      <w:start w:val="1"/>
    </w:lvl>
  </w:abstractNum>
  <w:abstractNum w:abstractNumId="495">
    <w:nsid w:val="1464BE1E"/>
    <w:multiLevelType w:val="hybridMultilevel"/>
    <w:lvl w:ilvl="0">
      <w:lvlJc w:val="left"/>
      <w:lvlText w:val="%1"/>
      <w:numFmt w:val="lowerLetter"/>
      <w:start w:val="1"/>
    </w:lvl>
    <w:lvl w:ilvl="1">
      <w:lvlJc w:val="left"/>
      <w:lvlText w:val="(%2)"/>
      <w:numFmt w:val="lowerLetter"/>
      <w:start w:val="61"/>
    </w:lvl>
  </w:abstractNum>
  <w:abstractNum w:abstractNumId="496">
    <w:nsid w:val="66BBB7E5"/>
    <w:multiLevelType w:val="hybridMultilevel"/>
    <w:lvl w:ilvl="0">
      <w:lvlJc w:val="left"/>
      <w:lvlText w:val="(%1)"/>
      <w:numFmt w:val="lowerLetter"/>
      <w:start w:val="25"/>
    </w:lvl>
    <w:lvl w:ilvl="1">
      <w:lvlJc w:val="left"/>
      <w:lvlText w:val="%2"/>
      <w:numFmt w:val="lowerLetter"/>
      <w:start w:val="1"/>
    </w:lvl>
  </w:abstractNum>
  <w:abstractNum w:abstractNumId="497">
    <w:nsid w:val="28168302"/>
    <w:multiLevelType w:val="hybridMultilevel"/>
    <w:lvl w:ilvl="0">
      <w:lvlJc w:val="left"/>
      <w:lvlText w:val="(%1)"/>
      <w:numFmt w:val="lowerLetter"/>
      <w:start w:val="1"/>
    </w:lvl>
  </w:abstractNum>
  <w:abstractNum w:abstractNumId="498">
    <w:nsid w:val="32A5C7A8"/>
    <w:multiLevelType w:val="hybridMultilevel"/>
    <w:lvl w:ilvl="0">
      <w:lvlJc w:val="left"/>
      <w:lvlText w:val="%1"/>
      <w:numFmt w:val="lowerLetter"/>
      <w:start w:val="1"/>
    </w:lvl>
    <w:lvl w:ilvl="1">
      <w:lvlJc w:val="left"/>
      <w:lvlText w:val="(%2)"/>
      <w:numFmt w:val="lowerRoman"/>
      <w:start w:val="1"/>
    </w:lvl>
  </w:abstractNum>
  <w:abstractNum w:abstractNumId="499">
    <w:nsid w:val="3A541011"/>
    <w:multiLevelType w:val="hybridMultilevel"/>
    <w:lvl w:ilvl="0">
      <w:lvlJc w:val="left"/>
      <w:lvlText w:val="(%1)"/>
      <w:numFmt w:val="lowerLetter"/>
      <w:start w:val="2"/>
    </w:lvl>
    <w:lvl w:ilvl="1">
      <w:lvlJc w:val="left"/>
      <w:lvlText w:val="%2"/>
      <w:numFmt w:val="lowerRoman"/>
      <w:start w:val="1"/>
    </w:lvl>
  </w:abstractNum>
  <w:abstractNum w:abstractNumId="500">
    <w:nsid w:val="4423C777"/>
    <w:multiLevelType w:val="hybridMultilevel"/>
    <w:lvl w:ilvl="0">
      <w:lvlJc w:val="left"/>
      <w:lvlText w:val="%1"/>
      <w:numFmt w:val="lowerLetter"/>
      <w:start w:val="1"/>
    </w:lvl>
    <w:lvl w:ilvl="1">
      <w:lvlJc w:val="left"/>
      <w:lvlText w:val="%2."/>
      <w:numFmt w:val="upperLetter"/>
      <w:start w:val="2"/>
    </w:lvl>
  </w:abstractNum>
  <w:abstractNum w:abstractNumId="501">
    <w:nsid w:val="5F5C6E4D"/>
    <w:multiLevelType w:val="hybridMultilevel"/>
    <w:lvl w:ilvl="0">
      <w:lvlJc w:val="left"/>
      <w:lvlText w:val="(%1)"/>
      <w:numFmt w:val="lowerLetter"/>
      <w:start w:val="11"/>
    </w:lvl>
    <w:lvl w:ilvl="1">
      <w:lvlJc w:val="left"/>
      <w:lvlText w:val="%2"/>
      <w:numFmt w:val="upperLetter"/>
      <w:start w:val="1"/>
    </w:lvl>
  </w:abstractNum>
  <w:abstractNum w:abstractNumId="502">
    <w:nsid w:val="7C2A56CD"/>
    <w:multiLevelType w:val="hybridMultilevel"/>
    <w:lvl w:ilvl="0">
      <w:lvlJc w:val="left"/>
      <w:lvlText w:val="(%1)"/>
      <w:numFmt w:val="lowerLetter"/>
      <w:start w:val="2"/>
    </w:lvl>
  </w:abstractNum>
  <w:abstractNum w:abstractNumId="503">
    <w:nsid w:val="7AB86EE1"/>
    <w:multiLevelType w:val="hybridMultilevel"/>
    <w:lvl w:ilvl="0">
      <w:lvlJc w:val="left"/>
      <w:lvlText w:val="(%1)"/>
      <w:numFmt w:val="lowerLetter"/>
      <w:start w:val="5"/>
    </w:lvl>
  </w:abstractNum>
  <w:abstractNum w:abstractNumId="504">
    <w:nsid w:val="B54E53B"/>
    <w:multiLevelType w:val="hybridMultilevel"/>
    <w:lvl w:ilvl="0">
      <w:lvlJc w:val="left"/>
      <w:lvlText w:val="(%1)"/>
      <w:numFmt w:val="lowerLetter"/>
      <w:start w:val="2"/>
    </w:lvl>
  </w:abstractNum>
  <w:abstractNum w:abstractNumId="505">
    <w:nsid w:val="2A00487"/>
    <w:multiLevelType w:val="hybridMultilevel"/>
    <w:lvl w:ilvl="0">
      <w:lvlJc w:val="left"/>
      <w:lvlText w:val="(%1)"/>
      <w:numFmt w:val="lowerLetter"/>
      <w:start w:val="3"/>
    </w:lvl>
  </w:abstractNum>
  <w:abstractNum w:abstractNumId="506">
    <w:nsid w:val="6CB1B60"/>
    <w:multiLevelType w:val="hybridMultilevel"/>
    <w:lvl w:ilvl="0">
      <w:lvlJc w:val="left"/>
      <w:lvlText w:val="(%1)"/>
      <w:numFmt w:val="lowerRoman"/>
      <w:start w:val="1"/>
    </w:lvl>
  </w:abstractNum>
  <w:abstractNum w:abstractNumId="507">
    <w:nsid w:val="72EDD574"/>
    <w:multiLevelType w:val="hybridMultilevel"/>
    <w:lvl w:ilvl="0">
      <w:lvlJc w:val="left"/>
      <w:lvlText w:val="(%1)"/>
      <w:numFmt w:val="decimal"/>
      <w:start w:val="1"/>
    </w:lvl>
  </w:abstractNum>
  <w:abstractNum w:abstractNumId="508">
    <w:nsid w:val="7323808A"/>
    <w:multiLevelType w:val="hybridMultilevel"/>
    <w:lvl w:ilvl="0">
      <w:lvlJc w:val="left"/>
      <w:lvlText w:val="(%1)"/>
      <w:numFmt w:val="lowerLetter"/>
      <w:start w:val="2"/>
    </w:lvl>
  </w:abstractNum>
  <w:abstractNum w:abstractNumId="509">
    <w:nsid w:val="5157276"/>
    <w:multiLevelType w:val="hybridMultilevel"/>
    <w:lvl w:ilvl="0">
      <w:lvlJc w:val="left"/>
      <w:lvlText w:val="(%1)"/>
      <w:numFmt w:val="lowerLetter"/>
      <w:start w:val="2"/>
    </w:lvl>
  </w:abstractNum>
  <w:abstractNum w:abstractNumId="510">
    <w:nsid w:val="35A681DB"/>
    <w:multiLevelType w:val="hybridMultilevel"/>
    <w:lvl w:ilvl="0">
      <w:lvlJc w:val="left"/>
      <w:lvlText w:val="(%1)"/>
      <w:numFmt w:val="lowerLetter"/>
      <w:start w:val="3"/>
    </w:lvl>
  </w:abstractNum>
  <w:abstractNum w:abstractNumId="511">
    <w:nsid w:val="1786C974"/>
    <w:multiLevelType w:val="hybridMultilevel"/>
    <w:lvl w:ilvl="0">
      <w:lvlJc w:val="left"/>
      <w:lvlText w:val="(%1)"/>
      <w:numFmt w:val="lowerLetter"/>
      <w:start w:val="1"/>
    </w:lvl>
  </w:abstractNum>
  <w:abstractNum w:abstractNumId="512">
    <w:nsid w:val="1C2427A1"/>
    <w:multiLevelType w:val="hybridMultilevel"/>
    <w:lvl w:ilvl="0">
      <w:lvlJc w:val="left"/>
      <w:lvlText w:val="%1"/>
      <w:numFmt w:val="upperLetter"/>
      <w:start w:val="1"/>
    </w:lvl>
    <w:lvl w:ilvl="1">
      <w:lvlJc w:val="left"/>
      <w:lvlText w:val="(%2)"/>
      <w:numFmt w:val="lowerLetter"/>
      <w:start w:val="4"/>
    </w:lvl>
  </w:abstractNum>
  <w:abstractNum w:abstractNumId="513">
    <w:nsid w:val="63A24D68"/>
    <w:multiLevelType w:val="hybridMultilevel"/>
    <w:lvl w:ilvl="0">
      <w:lvlJc w:val="left"/>
      <w:lvlText w:val="(%1)"/>
      <w:numFmt w:val="upperLetter"/>
      <w:start w:val="1"/>
    </w:lvl>
    <w:lvl w:ilvl="1">
      <w:lvlJc w:val="left"/>
      <w:lvlText w:val="(%2)"/>
      <w:numFmt w:val="lowerLetter"/>
      <w:start w:val="6"/>
    </w:lvl>
  </w:abstractNum>
  <w:abstractNum w:abstractNumId="514">
    <w:nsid w:val="4FB7A02A"/>
    <w:multiLevelType w:val="hybridMultilevel"/>
    <w:lvl w:ilvl="0">
      <w:lvlJc w:val="left"/>
      <w:lvlText w:val="(%1)"/>
      <w:numFmt w:val="lowerLetter"/>
      <w:start w:val="8"/>
    </w:lvl>
  </w:abstractNum>
  <w:abstractNum w:abstractNumId="515">
    <w:nsid w:val="96CF728"/>
    <w:multiLevelType w:val="hybridMultilevel"/>
    <w:lvl w:ilvl="0">
      <w:lvlJc w:val="left"/>
      <w:lvlText w:val="(%1)"/>
      <w:numFmt w:val="lowerLetter"/>
      <w:start w:val="1"/>
    </w:lvl>
  </w:abstractNum>
  <w:abstractNum w:abstractNumId="516">
    <w:nsid w:val="3B121183"/>
    <w:multiLevelType w:val="hybridMultilevel"/>
    <w:lvl w:ilvl="0">
      <w:lvlJc w:val="left"/>
      <w:lvlText w:val="(%1)"/>
      <w:numFmt w:val="lowerLetter"/>
      <w:start w:val="3"/>
    </w:lvl>
  </w:abstractNum>
  <w:abstractNum w:abstractNumId="517">
    <w:nsid w:val="3459648F"/>
    <w:multiLevelType w:val="hybridMultilevel"/>
    <w:lvl w:ilvl="0">
      <w:lvlJc w:val="left"/>
      <w:lvlText w:val="(%1)"/>
      <w:numFmt w:val="lowerLetter"/>
      <w:start w:val="7"/>
    </w:lvl>
  </w:abstractNum>
  <w:abstractNum w:abstractNumId="518">
    <w:nsid w:val="3ADF331D"/>
    <w:multiLevelType w:val="hybridMultilevel"/>
    <w:lvl w:ilvl="0">
      <w:lvlJc w:val="left"/>
      <w:lvlText w:val="%1"/>
      <w:numFmt w:val="lowerLetter"/>
      <w:start w:val="1"/>
    </w:lvl>
    <w:lvl w:ilvl="1">
      <w:lvlJc w:val="left"/>
      <w:lvlText w:val="(%2)"/>
      <w:numFmt w:val="lowerLetter"/>
      <w:start w:val="15"/>
    </w:lvl>
  </w:abstractNum>
  <w:abstractNum w:abstractNumId="519">
    <w:nsid w:val="4D08A9E4"/>
    <w:multiLevelType w:val="hybridMultilevel"/>
    <w:lvl w:ilvl="0">
      <w:lvlJc w:val="left"/>
      <w:lvlText w:val="(%1)"/>
      <w:numFmt w:val="lowerLetter"/>
      <w:start w:val="25"/>
    </w:lvl>
    <w:lvl w:ilvl="1">
      <w:lvlJc w:val="left"/>
      <w:lvlText w:val="%2"/>
      <w:numFmt w:val="lowerLetter"/>
      <w:start w:val="1"/>
    </w:lvl>
  </w:abstractNum>
  <w:abstractNum w:abstractNumId="520">
    <w:nsid w:val="6AF2BB3A"/>
    <w:multiLevelType w:val="hybridMultilevel"/>
    <w:lvl w:ilvl="0">
      <w:lvlJc w:val="left"/>
      <w:lvlText w:val="(%1)"/>
      <w:numFmt w:val="lowerLetter"/>
      <w:start w:val="17"/>
    </w:lvl>
  </w:abstractNum>
  <w:abstractNum w:abstractNumId="521">
    <w:nsid w:val="481B1739"/>
    <w:multiLevelType w:val="hybridMultilevel"/>
    <w:lvl w:ilvl="0">
      <w:lvlJc w:val="left"/>
      <w:lvlText w:val="(%1)"/>
      <w:numFmt w:val="lowerLetter"/>
      <w:start w:val="1"/>
    </w:lvl>
  </w:abstractNum>
  <w:abstractNum w:abstractNumId="522">
    <w:nsid w:val="19E2BFCC"/>
    <w:multiLevelType w:val="hybridMultilevel"/>
    <w:lvl w:ilvl="0">
      <w:lvlJc w:val="left"/>
      <w:lvlText w:val="(%1)"/>
      <w:numFmt w:val="lowerLetter"/>
      <w:start w:val="1"/>
    </w:lvl>
  </w:abstractNum>
  <w:abstractNum w:abstractNumId="523">
    <w:nsid w:val="66D021CA"/>
    <w:multiLevelType w:val="hybridMultilevel"/>
    <w:lvl w:ilvl="0">
      <w:lvlJc w:val="left"/>
      <w:lvlText w:val="(%1)"/>
      <w:numFmt w:val="lowerLetter"/>
      <w:start w:val="2"/>
    </w:lvl>
  </w:abstractNum>
  <w:abstractNum w:abstractNumId="524">
    <w:nsid w:val="56167394"/>
    <w:multiLevelType w:val="hybridMultilevel"/>
    <w:lvl w:ilvl="0">
      <w:lvlJc w:val="left"/>
      <w:lvlText w:val="(%1)"/>
      <w:numFmt w:val="lowerLetter"/>
      <w:start w:val="3"/>
    </w:lvl>
  </w:abstractNum>
  <w:abstractNum w:abstractNumId="525">
    <w:nsid w:val="9211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26">
    <w:nsid w:val="7B34DF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527">
    <w:nsid w:val="3CD22B79"/>
    <w:multiLevelType w:val="hybridMultilevel"/>
    <w:lvl w:ilvl="0">
      <w:lvlJc w:val="left"/>
      <w:lvlText w:val="(%1)"/>
      <w:numFmt w:val="lowerRoman"/>
      <w:start w:val="1"/>
    </w:lvl>
  </w:abstractNum>
  <w:abstractNum w:abstractNumId="528">
    <w:nsid w:val="3137975E"/>
    <w:multiLevelType w:val="hybridMultilevel"/>
    <w:lvl w:ilvl="0">
      <w:lvlJc w:val="left"/>
      <w:lvlText w:val="(%1)"/>
      <w:numFmt w:val="lowerLetter"/>
      <w:start w:val="3"/>
    </w:lvl>
  </w:abstractNum>
  <w:abstractNum w:abstractNumId="529">
    <w:nsid w:val="2DDAA791"/>
    <w:multiLevelType w:val="hybridMultilevel"/>
    <w:lvl w:ilvl="0">
      <w:lvlJc w:val="left"/>
      <w:lvlText w:val="(%1)"/>
      <w:numFmt w:val="lowerLetter"/>
      <w:start w:val="5"/>
    </w:lvl>
  </w:abstractNum>
  <w:abstractNum w:abstractNumId="530">
    <w:nsid w:val="77263B8A"/>
    <w:multiLevelType w:val="hybridMultilevel"/>
    <w:lvl w:ilvl="0">
      <w:lvlJc w:val="left"/>
      <w:lvlText w:val="(%1)"/>
      <w:numFmt w:val="lowerLetter"/>
      <w:start w:val="1"/>
    </w:lvl>
  </w:abstractNum>
  <w:abstractNum w:abstractNumId="531">
    <w:nsid w:val="755B5ED6"/>
    <w:multiLevelType w:val="hybridMultilevel"/>
    <w:lvl w:ilvl="0">
      <w:lvlJc w:val="left"/>
      <w:lvlText w:val="(%1)"/>
      <w:numFmt w:val="lowerLetter"/>
      <w:start w:val="4"/>
    </w:lvl>
  </w:abstractNum>
  <w:abstractNum w:abstractNumId="532">
    <w:nsid w:val="D3715DE"/>
    <w:multiLevelType w:val="hybridMultilevel"/>
    <w:lvl w:ilvl="0">
      <w:lvlJc w:val="left"/>
      <w:lvlText w:val="(%1)"/>
      <w:numFmt w:val="lowerRoman"/>
      <w:start w:val="1"/>
    </w:lvl>
  </w:abstractNum>
  <w:abstractNum w:abstractNumId="533">
    <w:nsid w:val="73509257"/>
    <w:multiLevelType w:val="hybridMultilevel"/>
    <w:lvl w:ilvl="0">
      <w:lvlJc w:val="left"/>
      <w:lvlText w:val="(%1)"/>
      <w:numFmt w:val="lowerRoman"/>
      <w:start w:val="7"/>
    </w:lvl>
  </w:abstractNum>
  <w:abstractNum w:abstractNumId="534">
    <w:nsid w:val="7013CDB7"/>
    <w:multiLevelType w:val="hybridMultilevel"/>
    <w:lvl w:ilvl="0">
      <w:lvlJc w:val="left"/>
      <w:lvlText w:val="%1"/>
      <w:numFmt w:val="lowerLetter"/>
      <w:start w:val="1"/>
    </w:lvl>
    <w:lvl w:ilvl="1">
      <w:lvlJc w:val="left"/>
      <w:lvlText w:val="(%2)"/>
      <w:numFmt w:val="lowerRoman"/>
      <w:start w:val="16"/>
    </w:lvl>
  </w:abstractNum>
  <w:abstractNum w:abstractNumId="535">
    <w:nsid w:val="188BFB19"/>
    <w:multiLevelType w:val="hybridMultilevel"/>
    <w:lvl w:ilvl="0">
      <w:lvlJc w:val="left"/>
      <w:lvlText w:val="(%1)"/>
      <w:numFmt w:val="lowerLetter"/>
      <w:start w:val="2"/>
    </w:lvl>
    <w:lvl w:ilvl="1">
      <w:lvlJc w:val="left"/>
      <w:lvlText w:val="%2"/>
      <w:numFmt w:val="lowerRoman"/>
      <w:start w:val="1"/>
    </w:lvl>
  </w:abstractNum>
  <w:abstractNum w:abstractNumId="536">
    <w:nsid w:val="75F096DF"/>
    <w:multiLevelType w:val="hybridMultilevel"/>
    <w:lvl w:ilvl="0">
      <w:lvlJc w:val="left"/>
      <w:lvlText w:val="(%1)"/>
      <w:numFmt w:val="lowerLetter"/>
      <w:start w:val="1"/>
    </w:lvl>
    <w:lvl w:ilvl="1">
      <w:lvlJc w:val="left"/>
      <w:lvlText w:val="(%2)"/>
      <w:numFmt w:val="lowerRoman"/>
      <w:start w:val="1"/>
    </w:lvl>
  </w:abstractNum>
  <w:abstractNum w:abstractNumId="537">
    <w:nsid w:val="76DEE918"/>
    <w:multiLevelType w:val="hybridMultilevel"/>
    <w:lvl w:ilvl="0">
      <w:lvlJc w:val="left"/>
      <w:lvlText w:val="(%1)"/>
      <w:numFmt w:val="lowerLetter"/>
      <w:start w:val="3"/>
    </w:lvl>
  </w:abstractNum>
  <w:abstractNum w:abstractNumId="538">
    <w:nsid w:val="B79D08D"/>
    <w:multiLevelType w:val="hybridMultilevel"/>
    <w:lvl w:ilvl="0">
      <w:lvlJc w:val="left"/>
      <w:lvlText w:val="(%1)"/>
      <w:numFmt w:val="lowerLetter"/>
      <w:start w:val="1"/>
    </w:lvl>
  </w:abstractNum>
  <w:abstractNum w:abstractNumId="539">
    <w:nsid w:val="69141769"/>
    <w:multiLevelType w:val="hybridMultilevel"/>
    <w:lvl w:ilvl="0">
      <w:lvlJc w:val="left"/>
      <w:lvlText w:val="(%1)"/>
      <w:numFmt w:val="lowerLetter"/>
      <w:start w:val="2"/>
    </w:lvl>
  </w:abstractNum>
  <w:abstractNum w:abstractNumId="540">
    <w:nsid w:val="7BF45B8E"/>
    <w:multiLevelType w:val="hybridMultilevel"/>
    <w:lvl w:ilvl="0">
      <w:lvlJc w:val="left"/>
      <w:lvlText w:val="%1."/>
      <w:numFmt w:val="decimal"/>
      <w:start w:val="1"/>
    </w:lvl>
    <w:lvl w:ilvl="1">
      <w:lvlJc w:val="left"/>
      <w:lvlText w:val="%2)"/>
      <w:numFmt w:val="lowerLetter"/>
      <w:start w:val="1"/>
    </w:lvl>
  </w:abstractNum>
  <w:abstractNum w:abstractNumId="541">
    <w:nsid w:val="41205269"/>
    <w:multiLevelType w:val="hybridMultilevel"/>
    <w:lvl w:ilvl="0">
      <w:lvlJc w:val="left"/>
      <w:lvlText w:val="%1."/>
      <w:numFmt w:val="decimal"/>
      <w:start w:val="1"/>
    </w:lvl>
    <w:lvl w:ilvl="1">
      <w:lvlJc w:val="left"/>
      <w:lvlText w:val="%2)"/>
      <w:numFmt w:val="lowerLetter"/>
      <w:start w:val="1"/>
    </w:lvl>
  </w:abstractNum>
  <w:abstractNum w:abstractNumId="542">
    <w:nsid w:val="9AE0D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2019-12-29T19:00:44Z</dcterms:created>
  <dcterms:modified xsi:type="dcterms:W3CDTF">2019-12-29T19:00:44Z</dcterms:modified>
</cp:coreProperties>
</file>